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2FE" w:rsidRDefault="007A02FE">
      <w:pPr>
        <w:jc w:val="center"/>
        <w:rPr>
          <w:b/>
          <w:sz w:val="44"/>
          <w:szCs w:val="44"/>
        </w:rPr>
      </w:pPr>
    </w:p>
    <w:p w:rsidR="007A02FE" w:rsidRDefault="007A02FE">
      <w:pPr>
        <w:jc w:val="center"/>
        <w:rPr>
          <w:b/>
          <w:sz w:val="44"/>
          <w:szCs w:val="44"/>
        </w:rPr>
      </w:pPr>
    </w:p>
    <w:p w:rsidR="007A02FE" w:rsidRDefault="007A02FE">
      <w:pPr>
        <w:jc w:val="center"/>
        <w:rPr>
          <w:b/>
          <w:sz w:val="44"/>
          <w:szCs w:val="44"/>
        </w:rPr>
      </w:pPr>
    </w:p>
    <w:p w:rsidR="007A02FE" w:rsidRDefault="00EF26AB">
      <w:pPr>
        <w:snapToGrid w:val="0"/>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东营市生态环境局</w:t>
      </w:r>
    </w:p>
    <w:p w:rsidR="007A02FE" w:rsidRDefault="00EF26AB">
      <w:pPr>
        <w:snapToGrid w:val="0"/>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关于</w:t>
      </w:r>
      <w:bookmarkStart w:id="0" w:name="bookmark7"/>
      <w:bookmarkStart w:id="1" w:name="bookmark9"/>
      <w:bookmarkStart w:id="2" w:name="bookmark8"/>
      <w:r>
        <w:rPr>
          <w:rFonts w:ascii="方正小标宋简体" w:eastAsia="方正小标宋简体" w:hAnsi="方正小标宋简体" w:cs="方正小标宋简体" w:hint="eastAsia"/>
          <w:b/>
          <w:sz w:val="44"/>
          <w:szCs w:val="44"/>
        </w:rPr>
        <w:t>落实《山东省生态环境厅关于印发山东省建设项目主要大气污染物排放总量替代指标核算及管理办法的通知》</w:t>
      </w:r>
      <w:bookmarkEnd w:id="0"/>
      <w:bookmarkEnd w:id="1"/>
      <w:bookmarkEnd w:id="2"/>
      <w:r>
        <w:rPr>
          <w:rFonts w:ascii="方正小标宋简体" w:eastAsia="方正小标宋简体" w:hAnsi="方正小标宋简体" w:cs="方正小标宋简体" w:hint="eastAsia"/>
          <w:b/>
          <w:sz w:val="44"/>
          <w:szCs w:val="44"/>
        </w:rPr>
        <w:t>的指导意见</w:t>
      </w:r>
    </w:p>
    <w:p w:rsidR="007A02FE" w:rsidRDefault="007A02FE">
      <w:pPr>
        <w:jc w:val="center"/>
        <w:rPr>
          <w:b/>
          <w:sz w:val="44"/>
          <w:szCs w:val="44"/>
        </w:rPr>
      </w:pPr>
    </w:p>
    <w:p w:rsidR="007A02FE" w:rsidRDefault="00EF26AB">
      <w:pPr>
        <w:rPr>
          <w:rFonts w:ascii="仿宋" w:eastAsia="仿宋" w:hAnsi="仿宋"/>
          <w:sz w:val="32"/>
          <w:szCs w:val="32"/>
        </w:rPr>
      </w:pPr>
      <w:r>
        <w:rPr>
          <w:rFonts w:ascii="仿宋" w:eastAsia="仿宋" w:hAnsi="仿宋" w:hint="eastAsia"/>
          <w:sz w:val="32"/>
          <w:szCs w:val="32"/>
        </w:rPr>
        <w:t>市生态环境局各分局、各市属开发区环保局：</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现将</w:t>
      </w:r>
      <w:bookmarkStart w:id="3" w:name="bookmark5"/>
      <w:bookmarkStart w:id="4" w:name="bookmark3"/>
      <w:bookmarkStart w:id="5" w:name="bookmark4"/>
      <w:r>
        <w:rPr>
          <w:rFonts w:ascii="仿宋" w:eastAsia="仿宋" w:hAnsi="仿宋" w:hint="eastAsia"/>
          <w:sz w:val="32"/>
          <w:szCs w:val="32"/>
        </w:rPr>
        <w:t>山东省生态环境厅</w:t>
      </w:r>
      <w:bookmarkStart w:id="6" w:name="bookmark6"/>
      <w:bookmarkEnd w:id="3"/>
      <w:r>
        <w:rPr>
          <w:rFonts w:ascii="仿宋" w:eastAsia="仿宋" w:hAnsi="仿宋" w:hint="eastAsia"/>
          <w:sz w:val="32"/>
          <w:szCs w:val="32"/>
        </w:rPr>
        <w:t>《关于印发山东省建设项目主要大气污染物排放总量替代指标核算及管理办法的通知》</w:t>
      </w:r>
      <w:bookmarkEnd w:id="4"/>
      <w:bookmarkEnd w:id="5"/>
      <w:bookmarkEnd w:id="6"/>
      <w:r>
        <w:rPr>
          <w:rFonts w:ascii="仿宋" w:eastAsia="仿宋" w:hAnsi="仿宋" w:hint="eastAsia"/>
          <w:sz w:val="32"/>
          <w:szCs w:val="32"/>
        </w:rPr>
        <w:t>（以下简称《通知》）转发给你们，结合我市实际情况提出以下指导意见，请一并贯彻执行：</w:t>
      </w:r>
    </w:p>
    <w:p w:rsidR="007A02FE" w:rsidRPr="00B15998" w:rsidRDefault="00EF26AB">
      <w:pPr>
        <w:numPr>
          <w:ilvl w:val="0"/>
          <w:numId w:val="1"/>
        </w:numPr>
        <w:ind w:firstLineChars="200" w:firstLine="640"/>
        <w:rPr>
          <w:rFonts w:ascii="仿宋" w:eastAsia="仿宋" w:hAnsi="仿宋"/>
          <w:sz w:val="32"/>
          <w:szCs w:val="32"/>
          <w:highlight w:val="yellow"/>
        </w:rPr>
      </w:pPr>
      <w:r>
        <w:rPr>
          <w:rFonts w:ascii="仿宋" w:eastAsia="仿宋" w:hAnsi="仿宋" w:hint="eastAsia"/>
          <w:sz w:val="32"/>
          <w:szCs w:val="32"/>
        </w:rPr>
        <w:t>因行政审批体制改革原因，我市暂处于过渡阶段，本阶段我市建设项目主要污染物排放总量指标审核确认</w:t>
      </w:r>
      <w:proofErr w:type="gramStart"/>
      <w:r>
        <w:rPr>
          <w:rFonts w:ascii="仿宋" w:eastAsia="仿宋" w:hAnsi="仿宋" w:hint="eastAsia"/>
          <w:sz w:val="32"/>
          <w:szCs w:val="32"/>
        </w:rPr>
        <w:t>暂</w:t>
      </w:r>
      <w:r w:rsidRPr="00B15998">
        <w:rPr>
          <w:rFonts w:ascii="仿宋" w:eastAsia="仿宋" w:hAnsi="仿宋" w:hint="eastAsia"/>
          <w:sz w:val="32"/>
          <w:szCs w:val="32"/>
          <w:highlight w:val="yellow"/>
        </w:rPr>
        <w:t>按照环评文件</w:t>
      </w:r>
      <w:proofErr w:type="gramEnd"/>
      <w:r w:rsidRPr="00B15998">
        <w:rPr>
          <w:rFonts w:ascii="仿宋" w:eastAsia="仿宋" w:hAnsi="仿宋" w:hint="eastAsia"/>
          <w:sz w:val="32"/>
          <w:szCs w:val="32"/>
          <w:highlight w:val="yellow"/>
        </w:rPr>
        <w:t>审批权限实行分级管理。</w:t>
      </w:r>
      <w:r>
        <w:rPr>
          <w:rFonts w:ascii="仿宋" w:eastAsia="仿宋" w:hAnsi="仿宋" w:hint="eastAsia"/>
          <w:sz w:val="32"/>
          <w:szCs w:val="32"/>
        </w:rPr>
        <w:t>建设项目的适用范围严格按照《通知》要求执行，</w:t>
      </w:r>
      <w:r w:rsidRPr="00B15998">
        <w:rPr>
          <w:rFonts w:ascii="仿宋" w:eastAsia="仿宋" w:hAnsi="仿宋" w:hint="eastAsia"/>
          <w:sz w:val="32"/>
          <w:szCs w:val="32"/>
          <w:highlight w:val="yellow"/>
        </w:rPr>
        <w:t>由市级负责审批的建设项目，总量指标审核工作由建设项目所在县区生态环境主管部门出具初审意见后（审查报告、总量确认书、替代削减方案等），报市生态环境局建设项目审查委员会进行审查确认</w:t>
      </w:r>
      <w:r>
        <w:rPr>
          <w:rFonts w:ascii="仿宋" w:eastAsia="仿宋" w:hAnsi="仿宋" w:hint="eastAsia"/>
          <w:sz w:val="32"/>
          <w:szCs w:val="32"/>
        </w:rPr>
        <w:t>；</w:t>
      </w:r>
      <w:r w:rsidRPr="00B15998">
        <w:rPr>
          <w:rFonts w:ascii="仿宋" w:eastAsia="仿宋" w:hAnsi="仿宋" w:hint="eastAsia"/>
          <w:sz w:val="32"/>
          <w:szCs w:val="32"/>
          <w:highlight w:val="yellow"/>
        </w:rPr>
        <w:t>由县区负责审批的建设项目总量指标审核工作，由建设项目所在县</w:t>
      </w:r>
      <w:r w:rsidRPr="00B15998">
        <w:rPr>
          <w:rFonts w:ascii="仿宋" w:eastAsia="仿宋" w:hAnsi="仿宋" w:hint="eastAsia"/>
          <w:sz w:val="32"/>
          <w:szCs w:val="32"/>
          <w:highlight w:val="yellow"/>
        </w:rPr>
        <w:lastRenderedPageBreak/>
        <w:t>区生态环境主管部门进行审查确认；东营经济技术开发区、东营港开发区管辖范围内，因排污许可权下放，由市级及以</w:t>
      </w:r>
      <w:r w:rsidRPr="00B15998">
        <w:rPr>
          <w:rFonts w:ascii="仿宋" w:eastAsia="仿宋" w:hAnsi="仿宋" w:hint="eastAsia"/>
          <w:sz w:val="32"/>
          <w:szCs w:val="32"/>
          <w:highlight w:val="yellow"/>
        </w:rPr>
        <w:t>下负责审批的建设项目总量指标审核工作，由建设项目所在市属开发区环保部门进行审查确认。</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二、</w:t>
      </w:r>
      <w:r w:rsidRPr="00B15998">
        <w:rPr>
          <w:rFonts w:ascii="仿宋" w:eastAsia="仿宋" w:hAnsi="仿宋" w:hint="eastAsia"/>
          <w:sz w:val="32"/>
          <w:szCs w:val="32"/>
          <w:highlight w:val="yellow"/>
        </w:rPr>
        <w:t>按照“等量替代是例外”管理的建设项目污染物排放总量采取</w:t>
      </w:r>
      <w:proofErr w:type="gramStart"/>
      <w:r w:rsidRPr="00B15998">
        <w:rPr>
          <w:rFonts w:ascii="仿宋" w:eastAsia="仿宋" w:hAnsi="仿宋" w:hint="eastAsia"/>
          <w:sz w:val="32"/>
          <w:szCs w:val="32"/>
          <w:highlight w:val="yellow"/>
        </w:rPr>
        <w:t>市区域</w:t>
      </w:r>
      <w:proofErr w:type="gramEnd"/>
      <w:r w:rsidRPr="00B15998">
        <w:rPr>
          <w:rFonts w:ascii="仿宋" w:eastAsia="仿宋" w:hAnsi="仿宋" w:hint="eastAsia"/>
          <w:sz w:val="32"/>
          <w:szCs w:val="32"/>
          <w:highlight w:val="yellow"/>
        </w:rPr>
        <w:t>内平衡，其它建设项目污染物排放总量采取新产能落地县区（市属开发区）区域内平衡。</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三、根据“</w:t>
      </w:r>
      <w:r w:rsidRPr="00B15998">
        <w:rPr>
          <w:rFonts w:ascii="仿宋" w:eastAsia="仿宋" w:hAnsi="仿宋" w:hint="eastAsia"/>
          <w:sz w:val="32"/>
          <w:szCs w:val="32"/>
          <w:highlight w:val="yellow"/>
        </w:rPr>
        <w:t>产能总量和污染物总量双平衡法</w:t>
      </w:r>
      <w:r>
        <w:rPr>
          <w:rFonts w:ascii="仿宋" w:eastAsia="仿宋" w:hAnsi="仿宋" w:hint="eastAsia"/>
          <w:sz w:val="32"/>
          <w:szCs w:val="32"/>
        </w:rPr>
        <w:t>”原则，对于搬迁入园、</w:t>
      </w:r>
      <w:proofErr w:type="gramStart"/>
      <w:r>
        <w:rPr>
          <w:rFonts w:ascii="仿宋" w:eastAsia="仿宋" w:hAnsi="仿宋" w:hint="eastAsia"/>
          <w:sz w:val="32"/>
          <w:szCs w:val="32"/>
        </w:rPr>
        <w:t>煤改气</w:t>
      </w:r>
      <w:proofErr w:type="gramEnd"/>
      <w:r>
        <w:rPr>
          <w:rFonts w:ascii="仿宋" w:eastAsia="仿宋" w:hAnsi="仿宋" w:hint="eastAsia"/>
          <w:sz w:val="32"/>
          <w:szCs w:val="32"/>
        </w:rPr>
        <w:t>、技术改造等项目，污染物排放量在项目</w:t>
      </w:r>
      <w:proofErr w:type="gramStart"/>
      <w:r>
        <w:rPr>
          <w:rFonts w:ascii="仿宋" w:eastAsia="仿宋" w:hAnsi="仿宋" w:hint="eastAsia"/>
          <w:sz w:val="32"/>
          <w:szCs w:val="32"/>
        </w:rPr>
        <w:t>原依法</w:t>
      </w:r>
      <w:proofErr w:type="gramEnd"/>
      <w:r>
        <w:rPr>
          <w:rFonts w:ascii="仿宋" w:eastAsia="仿宋" w:hAnsi="仿宋" w:hint="eastAsia"/>
          <w:sz w:val="32"/>
          <w:szCs w:val="32"/>
        </w:rPr>
        <w:t>核定的排污总量内的，不属新增污染物排放量，超出</w:t>
      </w:r>
      <w:proofErr w:type="gramStart"/>
      <w:r>
        <w:rPr>
          <w:rFonts w:ascii="仿宋" w:eastAsia="仿宋" w:hAnsi="仿宋" w:hint="eastAsia"/>
          <w:sz w:val="32"/>
          <w:szCs w:val="32"/>
        </w:rPr>
        <w:t>原依法</w:t>
      </w:r>
      <w:proofErr w:type="gramEnd"/>
      <w:r>
        <w:rPr>
          <w:rFonts w:ascii="仿宋" w:eastAsia="仿宋" w:hAnsi="仿宋" w:hint="eastAsia"/>
          <w:sz w:val="32"/>
          <w:szCs w:val="32"/>
        </w:rPr>
        <w:t>核定排污总量部分按新增污染物排放量的削减替代要求执行。</w:t>
      </w:r>
      <w:r w:rsidRPr="00B15998">
        <w:rPr>
          <w:rFonts w:ascii="仿宋" w:eastAsia="仿宋" w:hAnsi="仿宋" w:hint="eastAsia"/>
          <w:sz w:val="32"/>
          <w:szCs w:val="32"/>
          <w:highlight w:val="yellow"/>
        </w:rPr>
        <w:t>依法核定的排污总量根据排污许可证核定量为准，如尚未申领排污许可证且</w:t>
      </w:r>
      <w:r w:rsidRPr="00B15998">
        <w:rPr>
          <w:rFonts w:ascii="仿宋" w:eastAsia="仿宋" w:hAnsi="仿宋" w:hint="eastAsia"/>
          <w:sz w:val="32"/>
          <w:szCs w:val="32"/>
          <w:highlight w:val="yellow"/>
        </w:rPr>
        <w:t>2</w:t>
      </w:r>
      <w:r w:rsidRPr="00B15998">
        <w:rPr>
          <w:rFonts w:ascii="仿宋" w:eastAsia="仿宋" w:hAnsi="仿宋" w:hint="eastAsia"/>
          <w:sz w:val="32"/>
          <w:szCs w:val="32"/>
          <w:highlight w:val="yellow"/>
        </w:rPr>
        <w:t>015</w:t>
      </w:r>
      <w:r w:rsidRPr="00B15998">
        <w:rPr>
          <w:rFonts w:ascii="仿宋" w:eastAsia="仿宋" w:hAnsi="仿宋" w:hint="eastAsia"/>
          <w:sz w:val="32"/>
          <w:szCs w:val="32"/>
          <w:highlight w:val="yellow"/>
        </w:rPr>
        <w:t>年</w:t>
      </w:r>
      <w:r w:rsidRPr="00B15998">
        <w:rPr>
          <w:rFonts w:ascii="仿宋" w:eastAsia="仿宋" w:hAnsi="仿宋" w:hint="eastAsia"/>
          <w:sz w:val="32"/>
          <w:szCs w:val="32"/>
          <w:highlight w:val="yellow"/>
        </w:rPr>
        <w:t>1</w:t>
      </w:r>
      <w:r w:rsidRPr="00B15998">
        <w:rPr>
          <w:rFonts w:ascii="仿宋" w:eastAsia="仿宋" w:hAnsi="仿宋" w:hint="eastAsia"/>
          <w:sz w:val="32"/>
          <w:szCs w:val="32"/>
          <w:highlight w:val="yellow"/>
        </w:rPr>
        <w:t>月</w:t>
      </w:r>
      <w:r w:rsidRPr="00B15998">
        <w:rPr>
          <w:rFonts w:ascii="仿宋" w:eastAsia="仿宋" w:hAnsi="仿宋" w:hint="eastAsia"/>
          <w:sz w:val="32"/>
          <w:szCs w:val="32"/>
          <w:highlight w:val="yellow"/>
        </w:rPr>
        <w:t>1</w:t>
      </w:r>
      <w:r w:rsidRPr="00B15998">
        <w:rPr>
          <w:rFonts w:ascii="仿宋" w:eastAsia="仿宋" w:hAnsi="仿宋" w:hint="eastAsia"/>
          <w:sz w:val="32"/>
          <w:szCs w:val="32"/>
          <w:highlight w:val="yellow"/>
        </w:rPr>
        <w:t>日以后取得环评批复的，以环</w:t>
      </w:r>
      <w:proofErr w:type="gramStart"/>
      <w:r w:rsidRPr="00B15998">
        <w:rPr>
          <w:rFonts w:ascii="仿宋" w:eastAsia="仿宋" w:hAnsi="仿宋" w:hint="eastAsia"/>
          <w:sz w:val="32"/>
          <w:szCs w:val="32"/>
          <w:highlight w:val="yellow"/>
        </w:rPr>
        <w:t>评文件</w:t>
      </w:r>
      <w:proofErr w:type="gramEnd"/>
      <w:r w:rsidRPr="00B15998">
        <w:rPr>
          <w:rFonts w:ascii="仿宋" w:eastAsia="仿宋" w:hAnsi="仿宋" w:hint="eastAsia"/>
          <w:sz w:val="32"/>
          <w:szCs w:val="32"/>
          <w:highlight w:val="yellow"/>
        </w:rPr>
        <w:t>批复为准；</w:t>
      </w:r>
      <w:r w:rsidRPr="00B15998">
        <w:rPr>
          <w:rFonts w:ascii="仿宋" w:eastAsia="仿宋" w:hAnsi="仿宋" w:hint="eastAsia"/>
          <w:sz w:val="32"/>
          <w:szCs w:val="32"/>
          <w:highlight w:val="yellow"/>
        </w:rPr>
        <w:t>2015</w:t>
      </w:r>
      <w:r w:rsidRPr="00B15998">
        <w:rPr>
          <w:rFonts w:ascii="仿宋" w:eastAsia="仿宋" w:hAnsi="仿宋" w:hint="eastAsia"/>
          <w:sz w:val="32"/>
          <w:szCs w:val="32"/>
          <w:highlight w:val="yellow"/>
        </w:rPr>
        <w:t>年</w:t>
      </w:r>
      <w:r w:rsidRPr="00B15998">
        <w:rPr>
          <w:rFonts w:ascii="仿宋" w:eastAsia="仿宋" w:hAnsi="仿宋" w:hint="eastAsia"/>
          <w:sz w:val="32"/>
          <w:szCs w:val="32"/>
          <w:highlight w:val="yellow"/>
        </w:rPr>
        <w:t>1</w:t>
      </w:r>
      <w:r w:rsidRPr="00B15998">
        <w:rPr>
          <w:rFonts w:ascii="仿宋" w:eastAsia="仿宋" w:hAnsi="仿宋" w:hint="eastAsia"/>
          <w:sz w:val="32"/>
          <w:szCs w:val="32"/>
          <w:highlight w:val="yellow"/>
        </w:rPr>
        <w:t>月</w:t>
      </w:r>
      <w:r w:rsidRPr="00B15998">
        <w:rPr>
          <w:rFonts w:ascii="仿宋" w:eastAsia="仿宋" w:hAnsi="仿宋" w:hint="eastAsia"/>
          <w:sz w:val="32"/>
          <w:szCs w:val="32"/>
          <w:highlight w:val="yellow"/>
        </w:rPr>
        <w:t>1</w:t>
      </w:r>
      <w:r w:rsidRPr="00B15998">
        <w:rPr>
          <w:rFonts w:ascii="仿宋" w:eastAsia="仿宋" w:hAnsi="仿宋" w:hint="eastAsia"/>
          <w:sz w:val="32"/>
          <w:szCs w:val="32"/>
          <w:highlight w:val="yellow"/>
        </w:rPr>
        <w:t>日以前取得环评批复的，按照《通知》中替代总量计算方法核算。</w:t>
      </w:r>
    </w:p>
    <w:p w:rsidR="007A02FE" w:rsidRDefault="00EF26AB">
      <w:pPr>
        <w:ind w:firstLineChars="200" w:firstLine="640"/>
        <w:rPr>
          <w:rFonts w:ascii="仿宋_GB2312" w:eastAsia="仿宋_GB2312"/>
          <w:sz w:val="32"/>
          <w:szCs w:val="32"/>
        </w:rPr>
      </w:pPr>
      <w:r>
        <w:rPr>
          <w:rFonts w:ascii="仿宋" w:eastAsia="仿宋" w:hAnsi="仿宋" w:hint="eastAsia"/>
          <w:sz w:val="32"/>
          <w:szCs w:val="32"/>
        </w:rPr>
        <w:t>四、建设项目污染物排放总量</w:t>
      </w:r>
      <w:r w:rsidRPr="00B15998">
        <w:rPr>
          <w:rFonts w:ascii="仿宋" w:eastAsia="仿宋" w:hAnsi="仿宋" w:hint="eastAsia"/>
          <w:sz w:val="32"/>
          <w:szCs w:val="32"/>
          <w:highlight w:val="yellow"/>
        </w:rPr>
        <w:t>替代指标应来源于</w:t>
      </w:r>
      <w:r w:rsidRPr="00B15998">
        <w:rPr>
          <w:rFonts w:ascii="仿宋" w:eastAsia="仿宋" w:hAnsi="仿宋" w:hint="eastAsia"/>
          <w:sz w:val="32"/>
          <w:szCs w:val="32"/>
          <w:highlight w:val="yellow"/>
        </w:rPr>
        <w:t>2017</w:t>
      </w:r>
      <w:r w:rsidRPr="00B15998">
        <w:rPr>
          <w:rFonts w:ascii="仿宋" w:eastAsia="仿宋" w:hAnsi="仿宋" w:hint="eastAsia"/>
          <w:sz w:val="32"/>
          <w:szCs w:val="32"/>
          <w:highlight w:val="yellow"/>
        </w:rPr>
        <w:t>年</w:t>
      </w:r>
      <w:r w:rsidRPr="00B15998">
        <w:rPr>
          <w:rFonts w:ascii="仿宋" w:eastAsia="仿宋" w:hAnsi="仿宋" w:hint="eastAsia"/>
          <w:sz w:val="32"/>
          <w:szCs w:val="32"/>
          <w:highlight w:val="yellow"/>
        </w:rPr>
        <w:t>1</w:t>
      </w:r>
      <w:r w:rsidRPr="00B15998">
        <w:rPr>
          <w:rFonts w:ascii="仿宋" w:eastAsia="仿宋" w:hAnsi="仿宋" w:hint="eastAsia"/>
          <w:sz w:val="32"/>
          <w:szCs w:val="32"/>
          <w:highlight w:val="yellow"/>
        </w:rPr>
        <w:t>月</w:t>
      </w:r>
      <w:r w:rsidRPr="00B15998">
        <w:rPr>
          <w:rFonts w:ascii="仿宋" w:eastAsia="仿宋" w:hAnsi="仿宋" w:hint="eastAsia"/>
          <w:sz w:val="32"/>
          <w:szCs w:val="32"/>
          <w:highlight w:val="yellow"/>
        </w:rPr>
        <w:t>1</w:t>
      </w:r>
      <w:r w:rsidRPr="00B15998">
        <w:rPr>
          <w:rFonts w:ascii="仿宋" w:eastAsia="仿宋" w:hAnsi="仿宋" w:hint="eastAsia"/>
          <w:sz w:val="32"/>
          <w:szCs w:val="32"/>
          <w:highlight w:val="yellow"/>
        </w:rPr>
        <w:t>日以后，企事业单位采取减排措施后正常工况下，低于山东省同期污染物排放要求形成的年排放消减量；关停项目按照关停时山东省污染物排放要求核算的年排放消减量。</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五、按照原环境保护部《固定污染源排污许可分类管理名录》（</w:t>
      </w:r>
      <w:r>
        <w:rPr>
          <w:rFonts w:ascii="仿宋" w:eastAsia="仿宋" w:hAnsi="仿宋" w:hint="eastAsia"/>
          <w:sz w:val="32"/>
          <w:szCs w:val="32"/>
        </w:rPr>
        <w:t>2017</w:t>
      </w:r>
      <w:r>
        <w:rPr>
          <w:rFonts w:ascii="仿宋" w:eastAsia="仿宋" w:hAnsi="仿宋" w:hint="eastAsia"/>
          <w:sz w:val="32"/>
          <w:szCs w:val="32"/>
        </w:rPr>
        <w:t>），属于暂缓实行排污许可管理行业的建设项</w:t>
      </w:r>
      <w:r>
        <w:rPr>
          <w:rFonts w:ascii="仿宋" w:eastAsia="仿宋" w:hAnsi="仿宋" w:hint="eastAsia"/>
          <w:sz w:val="32"/>
          <w:szCs w:val="32"/>
        </w:rPr>
        <w:lastRenderedPageBreak/>
        <w:t>目，暂不纳入审核范围，如分类管理名录有修订，依据新分类管理名录管理</w:t>
      </w:r>
      <w:r>
        <w:rPr>
          <w:rFonts w:ascii="仿宋" w:eastAsia="仿宋" w:hAnsi="仿宋" w:hint="eastAsia"/>
          <w:sz w:val="32"/>
          <w:szCs w:val="32"/>
        </w:rPr>
        <w:t>。</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六、监督管理</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（一）县区（市属开发区）生态环境（环保）部门应建立主要大气污染物排放总量替代指标</w:t>
      </w:r>
      <w:proofErr w:type="gramStart"/>
      <w:r>
        <w:rPr>
          <w:rFonts w:ascii="仿宋" w:eastAsia="仿宋" w:hAnsi="仿宋" w:hint="eastAsia"/>
          <w:sz w:val="32"/>
          <w:szCs w:val="32"/>
        </w:rPr>
        <w:t>审核台</w:t>
      </w:r>
      <w:proofErr w:type="gramEnd"/>
      <w:r>
        <w:rPr>
          <w:rFonts w:ascii="仿宋" w:eastAsia="仿宋" w:hAnsi="仿宋" w:hint="eastAsia"/>
          <w:sz w:val="32"/>
          <w:szCs w:val="32"/>
        </w:rPr>
        <w:t>账，并实行动态管理。县区（市属开发区）生态环境（环保）</w:t>
      </w:r>
      <w:proofErr w:type="gramStart"/>
      <w:r>
        <w:rPr>
          <w:rFonts w:ascii="仿宋" w:eastAsia="仿宋" w:hAnsi="仿宋" w:hint="eastAsia"/>
          <w:sz w:val="32"/>
          <w:szCs w:val="32"/>
        </w:rPr>
        <w:t>部门台账应</w:t>
      </w:r>
      <w:proofErr w:type="gramEnd"/>
      <w:r>
        <w:rPr>
          <w:rFonts w:ascii="仿宋" w:eastAsia="仿宋" w:hAnsi="仿宋" w:hint="eastAsia"/>
          <w:sz w:val="32"/>
          <w:szCs w:val="32"/>
        </w:rPr>
        <w:t>包含行政区域内所有主要大气污染物排放总量替代指标涉及的项目和企事业单位。</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（二）</w:t>
      </w:r>
      <w:r w:rsidRPr="00936D19">
        <w:rPr>
          <w:rFonts w:ascii="仿宋" w:eastAsia="仿宋" w:hAnsi="仿宋" w:hint="eastAsia"/>
          <w:sz w:val="32"/>
          <w:szCs w:val="32"/>
          <w:highlight w:val="yellow"/>
        </w:rPr>
        <w:t>对已替代的主要污染物排放总量指标，涉及的排污单位应按规定变更排污许可证。</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（三）县区（市属开发区）生态环境（环保）部门应及时做好建设项目主要大气污染物排放总量指标替代与排污许可证管理、在线监控运行等工作的有效衔接，确保协调统一监管。</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七、其他</w:t>
      </w: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（一）自本通知下达之</w:t>
      </w:r>
      <w:r>
        <w:rPr>
          <w:rFonts w:ascii="仿宋" w:eastAsia="仿宋" w:hAnsi="仿宋" w:hint="eastAsia"/>
          <w:sz w:val="32"/>
          <w:szCs w:val="32"/>
        </w:rPr>
        <w:t>日起，新受理的环</w:t>
      </w:r>
      <w:proofErr w:type="gramStart"/>
      <w:r>
        <w:rPr>
          <w:rFonts w:ascii="仿宋" w:eastAsia="仿宋" w:hAnsi="仿宋" w:hint="eastAsia"/>
          <w:sz w:val="32"/>
          <w:szCs w:val="32"/>
        </w:rPr>
        <w:t>评文件</w:t>
      </w:r>
      <w:proofErr w:type="gramEnd"/>
      <w:r>
        <w:rPr>
          <w:rFonts w:ascii="仿宋" w:eastAsia="仿宋" w:hAnsi="仿宋" w:hint="eastAsia"/>
          <w:sz w:val="32"/>
          <w:szCs w:val="32"/>
        </w:rPr>
        <w:t>按照《山东省建设项目主要大气污染物排放总量替代指标核算及管理办法》及本通知要求审核和管理建设项目总量指标。</w:t>
      </w:r>
    </w:p>
    <w:p w:rsidR="007A02FE" w:rsidRDefault="00EF26AB">
      <w:pPr>
        <w:ind w:firstLineChars="200" w:firstLine="640"/>
        <w:rPr>
          <w:rFonts w:ascii="仿宋" w:eastAsia="仿宋" w:hAnsi="仿宋"/>
          <w:sz w:val="32"/>
          <w:szCs w:val="32"/>
        </w:rPr>
      </w:pPr>
      <w:r w:rsidRPr="00936D19">
        <w:rPr>
          <w:rFonts w:ascii="仿宋" w:eastAsia="仿宋" w:hAnsi="仿宋" w:hint="eastAsia"/>
          <w:sz w:val="32"/>
          <w:szCs w:val="32"/>
          <w:highlight w:val="yellow"/>
        </w:rPr>
        <w:t>（二）新增水污染物的建设项目及总量确认书上报材料相关事项，按照原东营市环境保护局《关于加强“十三五”期间建设项目污染物总量确认管理的通知》（东环发〔</w:t>
      </w:r>
      <w:r w:rsidRPr="00936D19">
        <w:rPr>
          <w:rFonts w:ascii="仿宋" w:eastAsia="仿宋" w:hAnsi="仿宋" w:hint="eastAsia"/>
          <w:sz w:val="32"/>
          <w:szCs w:val="32"/>
          <w:highlight w:val="yellow"/>
        </w:rPr>
        <w:t>2017</w:t>
      </w:r>
      <w:r w:rsidRPr="00936D19">
        <w:rPr>
          <w:rFonts w:ascii="仿宋" w:eastAsia="仿宋" w:hAnsi="仿宋" w:hint="eastAsia"/>
          <w:sz w:val="32"/>
          <w:szCs w:val="32"/>
          <w:highlight w:val="yellow"/>
        </w:rPr>
        <w:t>〕</w:t>
      </w:r>
      <w:r w:rsidRPr="00936D19">
        <w:rPr>
          <w:rFonts w:ascii="仿宋" w:eastAsia="仿宋" w:hAnsi="仿宋" w:hint="eastAsia"/>
          <w:sz w:val="32"/>
          <w:szCs w:val="32"/>
          <w:highlight w:val="yellow"/>
        </w:rPr>
        <w:t>22</w:t>
      </w:r>
      <w:r w:rsidRPr="00936D19">
        <w:rPr>
          <w:rFonts w:ascii="仿宋" w:eastAsia="仿宋" w:hAnsi="仿宋" w:hint="eastAsia"/>
          <w:sz w:val="32"/>
          <w:szCs w:val="32"/>
          <w:highlight w:val="yellow"/>
        </w:rPr>
        <w:t>号）要求执行。</w:t>
      </w:r>
      <w:bookmarkStart w:id="7" w:name="_GoBack"/>
      <w:bookmarkEnd w:id="7"/>
    </w:p>
    <w:p w:rsidR="007A02FE" w:rsidRDefault="00EF26AB">
      <w:pPr>
        <w:ind w:firstLineChars="200" w:firstLine="640"/>
        <w:rPr>
          <w:rFonts w:ascii="仿宋" w:eastAsia="仿宋" w:hAnsi="仿宋"/>
          <w:sz w:val="32"/>
          <w:szCs w:val="32"/>
        </w:rPr>
      </w:pPr>
      <w:r>
        <w:rPr>
          <w:rFonts w:ascii="仿宋" w:eastAsia="仿宋" w:hAnsi="仿宋" w:hint="eastAsia"/>
          <w:sz w:val="32"/>
          <w:szCs w:val="32"/>
        </w:rPr>
        <w:lastRenderedPageBreak/>
        <w:t>（三）行政审批体制改革过渡阶段完成后另行规定。</w:t>
      </w:r>
    </w:p>
    <w:p w:rsidR="007A02FE" w:rsidRDefault="007A02FE">
      <w:pPr>
        <w:ind w:firstLineChars="200" w:firstLine="640"/>
        <w:rPr>
          <w:rFonts w:ascii="仿宋" w:eastAsia="仿宋" w:hAnsi="仿宋"/>
          <w:sz w:val="32"/>
          <w:szCs w:val="32"/>
        </w:rPr>
      </w:pPr>
    </w:p>
    <w:p w:rsidR="007A02FE" w:rsidRDefault="00EF26AB">
      <w:pPr>
        <w:ind w:firstLineChars="200" w:firstLine="640"/>
        <w:rPr>
          <w:rFonts w:ascii="仿宋" w:eastAsia="仿宋" w:hAnsi="仿宋"/>
          <w:sz w:val="32"/>
          <w:szCs w:val="32"/>
        </w:rPr>
      </w:pPr>
      <w:r>
        <w:rPr>
          <w:rFonts w:ascii="仿宋" w:eastAsia="仿宋" w:hAnsi="仿宋" w:hint="eastAsia"/>
          <w:sz w:val="32"/>
          <w:szCs w:val="32"/>
        </w:rPr>
        <w:t>附件：山东省生态环境厅《关于印发山东省建设项目主要大气污染物排放总量替代指标核算及管理办法的通知》</w:t>
      </w:r>
      <w:r>
        <w:rPr>
          <w:rFonts w:ascii="仿宋" w:eastAsia="仿宋" w:hAnsi="仿宋" w:hint="eastAsia"/>
          <w:sz w:val="32"/>
          <w:szCs w:val="32"/>
        </w:rPr>
        <w:t>(</w:t>
      </w:r>
      <w:proofErr w:type="gramStart"/>
      <w:r>
        <w:rPr>
          <w:rFonts w:ascii="仿宋" w:eastAsia="仿宋" w:hAnsi="仿宋" w:hint="eastAsia"/>
          <w:sz w:val="32"/>
          <w:szCs w:val="32"/>
        </w:rPr>
        <w:t>鲁环发</w:t>
      </w:r>
      <w:proofErr w:type="gramEnd"/>
      <w:r>
        <w:rPr>
          <w:rFonts w:ascii="仿宋" w:eastAsia="仿宋" w:hAnsi="仿宋" w:hint="eastAsia"/>
          <w:sz w:val="32"/>
          <w:szCs w:val="32"/>
        </w:rPr>
        <w:t>〔</w:t>
      </w:r>
      <w:r>
        <w:rPr>
          <w:rFonts w:ascii="仿宋" w:eastAsia="仿宋" w:hAnsi="仿宋" w:hint="eastAsia"/>
          <w:sz w:val="32"/>
          <w:szCs w:val="32"/>
        </w:rPr>
        <w:t>2019</w:t>
      </w:r>
      <w:r>
        <w:rPr>
          <w:rFonts w:ascii="仿宋" w:eastAsia="仿宋" w:hAnsi="仿宋" w:hint="eastAsia"/>
          <w:sz w:val="32"/>
          <w:szCs w:val="32"/>
        </w:rPr>
        <w:t>〕</w:t>
      </w:r>
      <w:r>
        <w:rPr>
          <w:rFonts w:ascii="仿宋" w:eastAsia="仿宋" w:hAnsi="仿宋" w:hint="eastAsia"/>
          <w:sz w:val="32"/>
          <w:szCs w:val="32"/>
        </w:rPr>
        <w:t>132</w:t>
      </w:r>
      <w:r>
        <w:rPr>
          <w:rFonts w:ascii="仿宋" w:eastAsia="仿宋" w:hAnsi="仿宋" w:hint="eastAsia"/>
          <w:sz w:val="32"/>
          <w:szCs w:val="32"/>
        </w:rPr>
        <w:t>号</w:t>
      </w:r>
      <w:r>
        <w:rPr>
          <w:rFonts w:ascii="仿宋" w:eastAsia="仿宋" w:hAnsi="仿宋" w:hint="eastAsia"/>
          <w:sz w:val="32"/>
          <w:szCs w:val="32"/>
        </w:rPr>
        <w:t>)</w:t>
      </w:r>
    </w:p>
    <w:p w:rsidR="007A02FE" w:rsidRDefault="007A02FE">
      <w:pPr>
        <w:ind w:firstLineChars="200" w:firstLine="640"/>
        <w:rPr>
          <w:rFonts w:ascii="仿宋" w:eastAsia="仿宋" w:hAnsi="仿宋"/>
          <w:sz w:val="32"/>
          <w:szCs w:val="32"/>
        </w:rPr>
      </w:pPr>
    </w:p>
    <w:p w:rsidR="007A02FE" w:rsidRDefault="007A02FE">
      <w:pPr>
        <w:ind w:firstLineChars="200" w:firstLine="640"/>
        <w:rPr>
          <w:rFonts w:ascii="仿宋_GB2312" w:eastAsia="仿宋_GB2312"/>
          <w:sz w:val="32"/>
          <w:szCs w:val="32"/>
        </w:rPr>
      </w:pPr>
    </w:p>
    <w:p w:rsidR="007A02FE" w:rsidRDefault="007A02FE">
      <w:pPr>
        <w:ind w:firstLineChars="200" w:firstLine="640"/>
        <w:rPr>
          <w:rFonts w:ascii="仿宋_GB2312" w:eastAsia="仿宋_GB2312"/>
          <w:sz w:val="32"/>
          <w:szCs w:val="32"/>
        </w:rPr>
      </w:pPr>
    </w:p>
    <w:p w:rsidR="007A02FE" w:rsidRDefault="007A02FE">
      <w:pPr>
        <w:ind w:firstLineChars="200" w:firstLine="640"/>
        <w:rPr>
          <w:rFonts w:ascii="仿宋_GB2312" w:eastAsia="仿宋_GB2312"/>
          <w:sz w:val="32"/>
          <w:szCs w:val="32"/>
        </w:rPr>
      </w:pPr>
    </w:p>
    <w:p w:rsidR="007A02FE" w:rsidRDefault="007A02FE">
      <w:pPr>
        <w:ind w:firstLineChars="200" w:firstLine="640"/>
        <w:rPr>
          <w:rFonts w:ascii="仿宋_GB2312" w:eastAsia="仿宋_GB2312"/>
          <w:sz w:val="32"/>
          <w:szCs w:val="32"/>
        </w:rPr>
      </w:pPr>
    </w:p>
    <w:p w:rsidR="007A02FE" w:rsidRDefault="007A02FE">
      <w:pPr>
        <w:ind w:firstLineChars="200" w:firstLine="640"/>
        <w:rPr>
          <w:rFonts w:ascii="仿宋_GB2312" w:eastAsia="仿宋_GB2312"/>
          <w:sz w:val="32"/>
          <w:szCs w:val="32"/>
        </w:rPr>
      </w:pPr>
    </w:p>
    <w:p w:rsidR="007A02FE" w:rsidRDefault="007A02FE">
      <w:pPr>
        <w:ind w:firstLineChars="200" w:firstLine="640"/>
        <w:rPr>
          <w:rFonts w:ascii="仿宋_GB2312" w:eastAsia="仿宋_GB2312"/>
          <w:sz w:val="32"/>
          <w:szCs w:val="32"/>
        </w:rPr>
      </w:pPr>
    </w:p>
    <w:p w:rsidR="007A02FE" w:rsidRDefault="00EF26AB">
      <w:pPr>
        <w:ind w:firstLineChars="200" w:firstLine="640"/>
        <w:jc w:val="right"/>
        <w:rPr>
          <w:rFonts w:ascii="仿宋" w:eastAsia="仿宋" w:hAnsi="仿宋"/>
          <w:sz w:val="32"/>
          <w:szCs w:val="32"/>
        </w:rPr>
      </w:pPr>
      <w:r>
        <w:rPr>
          <w:rFonts w:ascii="仿宋" w:eastAsia="仿宋" w:hAnsi="仿宋" w:hint="eastAsia"/>
          <w:sz w:val="32"/>
          <w:szCs w:val="32"/>
        </w:rPr>
        <w:t>东营市生态环境局</w:t>
      </w:r>
    </w:p>
    <w:p w:rsidR="007A02FE" w:rsidRDefault="00EF26AB">
      <w:pPr>
        <w:ind w:firstLineChars="200" w:firstLine="640"/>
        <w:jc w:val="right"/>
        <w:rPr>
          <w:rFonts w:ascii="仿宋" w:eastAsia="仿宋" w:hAnsi="仿宋"/>
          <w:sz w:val="32"/>
          <w:szCs w:val="32"/>
        </w:rPr>
      </w:pPr>
      <w:r>
        <w:rPr>
          <w:rFonts w:ascii="仿宋" w:eastAsia="仿宋" w:hAnsi="仿宋" w:hint="eastAsia"/>
          <w:sz w:val="32"/>
          <w:szCs w:val="32"/>
        </w:rPr>
        <w:t>2019</w:t>
      </w:r>
      <w:r>
        <w:rPr>
          <w:rFonts w:ascii="仿宋" w:eastAsia="仿宋" w:hAnsi="仿宋" w:hint="eastAsia"/>
          <w:sz w:val="32"/>
          <w:szCs w:val="32"/>
        </w:rPr>
        <w:t>年</w:t>
      </w:r>
      <w:r>
        <w:rPr>
          <w:rFonts w:ascii="仿宋" w:eastAsia="仿宋" w:hAnsi="仿宋" w:hint="eastAsia"/>
          <w:sz w:val="32"/>
          <w:szCs w:val="32"/>
        </w:rPr>
        <w:t>9</w:t>
      </w:r>
      <w:r>
        <w:rPr>
          <w:rFonts w:ascii="仿宋" w:eastAsia="仿宋" w:hAnsi="仿宋" w:hint="eastAsia"/>
          <w:sz w:val="32"/>
          <w:szCs w:val="32"/>
        </w:rPr>
        <w:t>月</w:t>
      </w:r>
      <w:r>
        <w:rPr>
          <w:rFonts w:ascii="仿宋" w:eastAsia="仿宋" w:hAnsi="仿宋" w:hint="eastAsia"/>
          <w:sz w:val="32"/>
          <w:szCs w:val="32"/>
        </w:rPr>
        <w:t>17</w:t>
      </w:r>
      <w:r>
        <w:rPr>
          <w:rFonts w:ascii="仿宋" w:eastAsia="仿宋" w:hAnsi="仿宋" w:hint="eastAsia"/>
          <w:sz w:val="32"/>
          <w:szCs w:val="32"/>
        </w:rPr>
        <w:t>日</w:t>
      </w:r>
    </w:p>
    <w:p w:rsidR="007A02FE" w:rsidRDefault="007A02FE">
      <w:pPr>
        <w:ind w:firstLineChars="200" w:firstLine="640"/>
        <w:jc w:val="right"/>
        <w:rPr>
          <w:rFonts w:ascii="仿宋_GB2312" w:eastAsia="仿宋_GB2312"/>
          <w:sz w:val="32"/>
          <w:szCs w:val="32"/>
        </w:rPr>
      </w:pPr>
    </w:p>
    <w:p w:rsidR="007A02FE" w:rsidRDefault="007A02FE">
      <w:pPr>
        <w:widowControl/>
        <w:rPr>
          <w:rFonts w:ascii="仿宋_GB2312" w:eastAsia="仿宋_GB2312" w:hAnsi="Times New Roman"/>
          <w:kern w:val="0"/>
          <w:sz w:val="32"/>
          <w:szCs w:val="32"/>
        </w:rPr>
      </w:pPr>
    </w:p>
    <w:p w:rsidR="007A02FE" w:rsidRDefault="00EF26AB">
      <w:pPr>
        <w:widowControl/>
        <w:jc w:val="left"/>
        <w:rPr>
          <w:rFonts w:ascii="仿宋_GB2312" w:eastAsia="仿宋_GB2312" w:hAnsi="Times New Roman"/>
          <w:kern w:val="0"/>
          <w:sz w:val="32"/>
          <w:szCs w:val="32"/>
        </w:rPr>
      </w:pPr>
      <w:r>
        <w:rPr>
          <w:rFonts w:ascii="仿宋_GB2312" w:eastAsia="仿宋_GB2312" w:hAnsi="Times New Roman" w:hint="eastAsia"/>
          <w:kern w:val="0"/>
          <w:sz w:val="32"/>
          <w:szCs w:val="32"/>
        </w:rPr>
        <w:lastRenderedPageBreak/>
        <w:t>附件</w:t>
      </w:r>
      <w:r>
        <w:rPr>
          <w:rFonts w:ascii="仿宋_GB2312" w:eastAsia="仿宋_GB2312" w:hAnsi="Times New Roman" w:hint="eastAsia"/>
          <w:noProof/>
          <w:kern w:val="0"/>
          <w:sz w:val="32"/>
          <w:szCs w:val="32"/>
        </w:rPr>
        <w:drawing>
          <wp:inline distT="0" distB="0" distL="0" distR="0">
            <wp:extent cx="5267325" cy="7458075"/>
            <wp:effectExtent l="19050" t="0" r="9525" b="0"/>
            <wp:docPr id="1026"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pic:nvPicPr>
                  <pic:blipFill>
                    <a:blip r:embed="rId8" cstate="print"/>
                    <a:srcRect/>
                    <a:stretch/>
                  </pic:blipFill>
                  <pic:spPr>
                    <a:xfrm>
                      <a:off x="0" y="0"/>
                      <a:ext cx="5267325" cy="7458075"/>
                    </a:xfrm>
                    <a:prstGeom prst="rect">
                      <a:avLst/>
                    </a:prstGeom>
                    <a:ln>
                      <a:noFill/>
                    </a:ln>
                  </pic:spPr>
                </pic:pic>
              </a:graphicData>
            </a:graphic>
          </wp:inline>
        </w:drawing>
      </w:r>
      <w:r>
        <w:rPr>
          <w:rFonts w:ascii="仿宋_GB2312" w:eastAsia="仿宋_GB2312" w:hAnsi="Times New Roman" w:hint="eastAsia"/>
          <w:noProof/>
          <w:kern w:val="0"/>
          <w:sz w:val="32"/>
          <w:szCs w:val="32"/>
        </w:rPr>
        <w:lastRenderedPageBreak/>
        <w:drawing>
          <wp:inline distT="0" distB="0" distL="0" distR="0">
            <wp:extent cx="5267325" cy="7458075"/>
            <wp:effectExtent l="19050" t="0" r="9525" b="0"/>
            <wp:docPr id="1027"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8"/>
                    <pic:cNvPicPr/>
                  </pic:nvPicPr>
                  <pic:blipFill>
                    <a:blip r:embed="rId9" cstate="print"/>
                    <a:srcRect/>
                    <a:stretch/>
                  </pic:blipFill>
                  <pic:spPr>
                    <a:xfrm>
                      <a:off x="0" y="0"/>
                      <a:ext cx="5267325" cy="7458075"/>
                    </a:xfrm>
                    <a:prstGeom prst="rect">
                      <a:avLst/>
                    </a:prstGeom>
                    <a:ln>
                      <a:noFill/>
                    </a:ln>
                  </pic:spPr>
                </pic:pic>
              </a:graphicData>
            </a:graphic>
          </wp:inline>
        </w:drawing>
      </w:r>
      <w:r>
        <w:rPr>
          <w:rFonts w:ascii="仿宋_GB2312" w:eastAsia="仿宋_GB2312" w:hAnsi="Times New Roman" w:hint="eastAsia"/>
          <w:noProof/>
          <w:kern w:val="0"/>
          <w:sz w:val="32"/>
          <w:szCs w:val="32"/>
        </w:rPr>
        <w:lastRenderedPageBreak/>
        <w:drawing>
          <wp:inline distT="0" distB="0" distL="0" distR="0">
            <wp:extent cx="5267325" cy="7458075"/>
            <wp:effectExtent l="19050" t="0" r="9525" b="0"/>
            <wp:docPr id="102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10" cstate="print"/>
                    <a:srcRect/>
                    <a:stretch/>
                  </pic:blipFill>
                  <pic:spPr>
                    <a:xfrm>
                      <a:off x="0" y="0"/>
                      <a:ext cx="5267325" cy="7458075"/>
                    </a:xfrm>
                    <a:prstGeom prst="rect">
                      <a:avLst/>
                    </a:prstGeom>
                    <a:ln>
                      <a:noFill/>
                    </a:ln>
                  </pic:spPr>
                </pic:pic>
              </a:graphicData>
            </a:graphic>
          </wp:inline>
        </w:drawing>
      </w:r>
      <w:r>
        <w:rPr>
          <w:rFonts w:ascii="仿宋_GB2312" w:eastAsia="仿宋_GB2312" w:hAnsi="Times New Roman" w:hint="eastAsia"/>
          <w:noProof/>
          <w:kern w:val="0"/>
          <w:sz w:val="32"/>
          <w:szCs w:val="32"/>
        </w:rPr>
        <w:lastRenderedPageBreak/>
        <w:drawing>
          <wp:inline distT="0" distB="0" distL="0" distR="0">
            <wp:extent cx="5267325" cy="7458075"/>
            <wp:effectExtent l="19050" t="0" r="9525" b="0"/>
            <wp:docPr id="1029"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11" cstate="print"/>
                    <a:srcRect/>
                    <a:stretch/>
                  </pic:blipFill>
                  <pic:spPr>
                    <a:xfrm>
                      <a:off x="0" y="0"/>
                      <a:ext cx="5267325" cy="7458075"/>
                    </a:xfrm>
                    <a:prstGeom prst="rect">
                      <a:avLst/>
                    </a:prstGeom>
                    <a:ln>
                      <a:noFill/>
                    </a:ln>
                  </pic:spPr>
                </pic:pic>
              </a:graphicData>
            </a:graphic>
          </wp:inline>
        </w:drawing>
      </w:r>
      <w:r>
        <w:rPr>
          <w:rFonts w:ascii="仿宋_GB2312" w:eastAsia="仿宋_GB2312" w:hAnsi="Times New Roman" w:hint="eastAsia"/>
          <w:noProof/>
          <w:kern w:val="0"/>
          <w:sz w:val="32"/>
          <w:szCs w:val="32"/>
        </w:rPr>
        <w:lastRenderedPageBreak/>
        <w:drawing>
          <wp:inline distT="0" distB="0" distL="0" distR="0">
            <wp:extent cx="5267325" cy="7458075"/>
            <wp:effectExtent l="19050" t="0" r="9525" b="0"/>
            <wp:docPr id="1030"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cstate="print"/>
                    <a:srcRect/>
                    <a:stretch/>
                  </pic:blipFill>
                  <pic:spPr>
                    <a:xfrm>
                      <a:off x="0" y="0"/>
                      <a:ext cx="5267325" cy="7458075"/>
                    </a:xfrm>
                    <a:prstGeom prst="rect">
                      <a:avLst/>
                    </a:prstGeom>
                    <a:ln>
                      <a:noFill/>
                    </a:ln>
                  </pic:spPr>
                </pic:pic>
              </a:graphicData>
            </a:graphic>
          </wp:inline>
        </w:drawing>
      </w:r>
      <w:r>
        <w:rPr>
          <w:rFonts w:ascii="仿宋_GB2312" w:eastAsia="仿宋_GB2312" w:hAnsi="Times New Roman" w:hint="eastAsia"/>
          <w:noProof/>
          <w:kern w:val="0"/>
          <w:sz w:val="32"/>
          <w:szCs w:val="32"/>
        </w:rPr>
        <w:lastRenderedPageBreak/>
        <w:drawing>
          <wp:inline distT="0" distB="0" distL="0" distR="0">
            <wp:extent cx="5267325" cy="7458075"/>
            <wp:effectExtent l="19050" t="0" r="9525" b="0"/>
            <wp:docPr id="10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3" cstate="print"/>
                    <a:srcRect/>
                    <a:stretch/>
                  </pic:blipFill>
                  <pic:spPr>
                    <a:xfrm>
                      <a:off x="0" y="0"/>
                      <a:ext cx="5267325" cy="7458075"/>
                    </a:xfrm>
                    <a:prstGeom prst="rect">
                      <a:avLst/>
                    </a:prstGeom>
                    <a:ln>
                      <a:noFill/>
                    </a:ln>
                  </pic:spPr>
                </pic:pic>
              </a:graphicData>
            </a:graphic>
          </wp:inline>
        </w:drawing>
      </w:r>
    </w:p>
    <w:p w:rsidR="007A02FE" w:rsidRDefault="007A02FE">
      <w:pPr>
        <w:widowControl/>
        <w:rPr>
          <w:rFonts w:ascii="仿宋_GB2312" w:eastAsia="仿宋_GB2312" w:hAnsi="Times New Roman"/>
          <w:kern w:val="0"/>
          <w:sz w:val="32"/>
          <w:szCs w:val="32"/>
        </w:rPr>
      </w:pPr>
    </w:p>
    <w:p w:rsidR="007A02FE" w:rsidRDefault="007A02FE">
      <w:pPr>
        <w:widowControl/>
        <w:rPr>
          <w:rFonts w:ascii="仿宋_GB2312" w:eastAsia="仿宋_GB2312" w:hAnsi="Times New Roman"/>
          <w:kern w:val="0"/>
          <w:sz w:val="32"/>
          <w:szCs w:val="32"/>
        </w:rPr>
      </w:pPr>
    </w:p>
    <w:p w:rsidR="007A02FE" w:rsidRDefault="007A02FE">
      <w:pPr>
        <w:rPr>
          <w:rFonts w:ascii="仿宋_GB2312" w:eastAsia="仿宋_GB2312"/>
          <w:sz w:val="32"/>
          <w:szCs w:val="32"/>
        </w:rPr>
      </w:pPr>
    </w:p>
    <w:sectPr w:rsidR="007A02FE">
      <w:footerReference w:type="default" r:id="rId14"/>
      <w:pgSz w:w="11906" w:h="16838"/>
      <w:pgMar w:top="1440" w:right="1800" w:bottom="1440" w:left="180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6AB" w:rsidRDefault="00EF26AB">
      <w:r>
        <w:separator/>
      </w:r>
    </w:p>
  </w:endnote>
  <w:endnote w:type="continuationSeparator" w:id="0">
    <w:p w:rsidR="00EF26AB" w:rsidRDefault="00EF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方正小标宋简体">
    <w:altName w:val="微软雅黑"/>
    <w:charset w:val="86"/>
    <w:family w:val="auto"/>
    <w:pitch w:val="default"/>
    <w:sig w:usb0="00000001" w:usb1="080E0000" w:usb2="0000000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2FE" w:rsidRDefault="00EF26AB">
    <w:pPr>
      <w:pStyle w:val="a7"/>
      <w:jc w:val="right"/>
    </w:pPr>
    <w:r>
      <w:fldChar w:fldCharType="begin"/>
    </w:r>
    <w:r>
      <w:instrText xml:space="preserve"> PAGE   \* MERGEFORMAT </w:instrText>
    </w:r>
    <w:r>
      <w:fldChar w:fldCharType="separate"/>
    </w:r>
    <w:r>
      <w:rPr>
        <w:lang w:val="zh-CN"/>
      </w:rPr>
      <w:t>2</w:t>
    </w:r>
    <w:r>
      <w:rPr>
        <w:lang w:val="zh-CN"/>
      </w:rPr>
      <w:fldChar w:fldCharType="end"/>
    </w:r>
  </w:p>
  <w:p w:rsidR="007A02FE" w:rsidRDefault="007A02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6AB" w:rsidRDefault="00EF26AB">
      <w:r>
        <w:separator/>
      </w:r>
    </w:p>
  </w:footnote>
  <w:footnote w:type="continuationSeparator" w:id="0">
    <w:p w:rsidR="00EF26AB" w:rsidRDefault="00EF2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singleLevel"/>
    <w:tmpl w:val="5B7F952D"/>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A02FE"/>
    <w:rsid w:val="007A02FE"/>
    <w:rsid w:val="00936D19"/>
    <w:rsid w:val="00B15998"/>
    <w:rsid w:val="00EF2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20464-1281-4C0A-9BB7-B3FE9792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pPr>
  </w:style>
  <w:style w:type="paragraph" w:styleId="a5">
    <w:name w:val="Balloon Text"/>
    <w:basedOn w:val="a"/>
    <w:link w:val="a6"/>
    <w:uiPriority w:val="99"/>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character" w:customStyle="1" w:styleId="a4">
    <w:name w:val="日期 字符"/>
    <w:basedOn w:val="a0"/>
    <w:link w:val="a3"/>
    <w:uiPriority w:val="99"/>
    <w:qFormat/>
  </w:style>
  <w:style w:type="character" w:customStyle="1" w:styleId="a8">
    <w:name w:val="页脚 字符"/>
    <w:basedOn w:val="a0"/>
    <w:link w:val="a7"/>
    <w:uiPriority w:val="99"/>
    <w:qFormat/>
    <w:rPr>
      <w:sz w:val="18"/>
      <w:szCs w:val="18"/>
    </w:rPr>
  </w:style>
  <w:style w:type="character" w:customStyle="1" w:styleId="aa">
    <w:name w:val="页眉 字符"/>
    <w:basedOn w:val="a0"/>
    <w:link w:val="a9"/>
    <w:uiPriority w:val="99"/>
    <w:qFormat/>
    <w:rPr>
      <w:sz w:val="18"/>
      <w:szCs w:val="18"/>
    </w:rPr>
  </w:style>
  <w:style w:type="paragraph" w:customStyle="1" w:styleId="p0">
    <w:name w:val="p0"/>
    <w:basedOn w:val="a"/>
    <w:qFormat/>
    <w:pPr>
      <w:widowControl/>
    </w:pPr>
    <w:rPr>
      <w:rFonts w:ascii="Times New Roman" w:hAnsi="Times New Roman"/>
      <w:kern w:val="0"/>
      <w:szCs w:val="21"/>
    </w:rPr>
  </w:style>
  <w:style w:type="paragraph" w:customStyle="1" w:styleId="Bodytext1">
    <w:name w:val="Body text|1"/>
    <w:basedOn w:val="a"/>
    <w:qFormat/>
    <w:pPr>
      <w:spacing w:line="398" w:lineRule="auto"/>
      <w:ind w:firstLine="400"/>
    </w:pPr>
    <w:rPr>
      <w:rFonts w:ascii="MingLiU" w:eastAsia="MingLiU" w:hAnsi="MingLiU" w:cs="MingLiU"/>
      <w:sz w:val="19"/>
      <w:szCs w:val="19"/>
      <w:lang w:val="zh-TW" w:eastAsia="zh-TW" w:bidi="zh-TW"/>
    </w:rPr>
  </w:style>
  <w:style w:type="paragraph" w:customStyle="1" w:styleId="Headerorfooter2">
    <w:name w:val="Header or footer|2"/>
    <w:basedOn w:val="a"/>
    <w:qFormat/>
    <w:rPr>
      <w:sz w:val="20"/>
      <w:szCs w:val="20"/>
    </w:rPr>
  </w:style>
  <w:style w:type="paragraph" w:customStyle="1" w:styleId="p16">
    <w:name w:val="p16"/>
    <w:basedOn w:val="a"/>
    <w:qFormat/>
    <w:pPr>
      <w:widowControl/>
    </w:pPr>
    <w:rPr>
      <w:rFonts w:ascii="Arial" w:hAnsi="Arial" w:cs="Arial"/>
      <w:kern w:val="0"/>
      <w:sz w:val="28"/>
      <w:szCs w:val="28"/>
    </w:rPr>
  </w:style>
  <w:style w:type="paragraph" w:customStyle="1" w:styleId="Default">
    <w:name w:val="Default"/>
    <w:pPr>
      <w:widowControl w:val="0"/>
      <w:autoSpaceDE w:val="0"/>
      <w:autoSpaceDN w:val="0"/>
      <w:adjustRightInd w:val="0"/>
    </w:pPr>
    <w:rPr>
      <w:rFonts w:ascii="仿宋_GB2312" w:eastAsia="仿宋_GB2312" w:hAnsi="Calibri" w:cs="仿宋_GB2312"/>
      <w:color w:val="000000"/>
      <w:sz w:val="24"/>
      <w:szCs w:val="24"/>
    </w:rPr>
  </w:style>
  <w:style w:type="paragraph" w:customStyle="1" w:styleId="p17">
    <w:name w:val="p17"/>
    <w:basedOn w:val="a"/>
    <w:qFormat/>
    <w:pPr>
      <w:widowControl/>
    </w:pPr>
    <w:rPr>
      <w:rFonts w:ascii="Times New Roman" w:hAnsi="Times New Roman"/>
      <w:kern w:val="0"/>
      <w:sz w:val="32"/>
      <w:szCs w:val="32"/>
    </w:rPr>
  </w:style>
  <w:style w:type="paragraph" w:customStyle="1" w:styleId="Heading21">
    <w:name w:val="Heading #2|1"/>
    <w:basedOn w:val="a"/>
    <w:qFormat/>
    <w:pPr>
      <w:spacing w:before="210" w:after="290" w:line="368" w:lineRule="exact"/>
      <w:jc w:val="center"/>
      <w:outlineLvl w:val="1"/>
    </w:pPr>
    <w:rPr>
      <w:rFonts w:ascii="MingLiU" w:eastAsia="MingLiU" w:hAnsi="MingLiU" w:cs="MingLiU"/>
      <w:sz w:val="26"/>
      <w:szCs w:val="26"/>
      <w:lang w:val="zh-TW" w:eastAsia="zh-TW" w:bidi="zh-TW"/>
    </w:rPr>
  </w:style>
  <w:style w:type="character" w:customStyle="1" w:styleId="a6">
    <w:name w:val="批注框文本 字符"/>
    <w:basedOn w:val="a0"/>
    <w:link w:val="a5"/>
    <w:uiPriority w:val="99"/>
    <w:qFormat/>
    <w:rPr>
      <w:rFonts w:ascii="Calibri" w:eastAsia="宋体"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222</Words>
  <Characters>1267</Characters>
  <Application>Microsoft Office Word</Application>
  <DocSecurity>0</DocSecurity>
  <Lines>10</Lines>
  <Paragraphs>2</Paragraphs>
  <ScaleCrop>false</ScaleCrop>
  <Company>微软中国</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MING LIU</cp:lastModifiedBy>
  <cp:revision>5</cp:revision>
  <cp:lastPrinted>2019-09-24T06:34:00Z</cp:lastPrinted>
  <dcterms:created xsi:type="dcterms:W3CDTF">2019-10-11T07:56:00Z</dcterms:created>
  <dcterms:modified xsi:type="dcterms:W3CDTF">2019-10-12T00:26:00Z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