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firstLine="200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1</w:t>
      </w:r>
    </w:p>
    <w:p>
      <w:pPr>
        <w:spacing w:line="610" w:lineRule="exact"/>
        <w:ind w:firstLine="200"/>
        <w:rPr>
          <w:rFonts w:eastAsia="仿宋_GB2312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山东省铅蓄电池生产企业集中收集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和跨区域转运制度试点方案备案信息清单</w:t>
      </w:r>
    </w:p>
    <w:p>
      <w:pPr>
        <w:spacing w:line="610" w:lineRule="exact"/>
        <w:ind w:firstLine="200"/>
        <w:rPr>
          <w:rFonts w:eastAsia="仿宋_GB2312"/>
        </w:rPr>
      </w:pPr>
    </w:p>
    <w:p>
      <w:pPr>
        <w:ind w:firstLine="632" w:firstLineChars="200"/>
        <w:rPr>
          <w:rFonts w:eastAsia="黑体"/>
        </w:rPr>
      </w:pPr>
      <w:r>
        <w:rPr>
          <w:rFonts w:hAnsi="黑体" w:eastAsia="黑体"/>
        </w:rPr>
        <w:t>一、申请试点单位基本情况与废铅蓄电池回收目标</w:t>
      </w:r>
    </w:p>
    <w:p>
      <w:pPr>
        <w:ind w:firstLine="670" w:firstLineChars="212"/>
        <w:rPr>
          <w:rFonts w:eastAsia="仿宋_GB2312"/>
        </w:rPr>
      </w:pPr>
      <w:r>
        <w:rPr>
          <w:rFonts w:eastAsia="仿宋_GB2312"/>
        </w:rPr>
        <w:t>1.试点单位工商登记信息，公司名称，法人、负责人及联系方式。</w:t>
      </w:r>
    </w:p>
    <w:p>
      <w:pPr>
        <w:ind w:firstLine="670" w:firstLineChars="212"/>
        <w:rPr>
          <w:rFonts w:eastAsia="仿宋_GB2312"/>
        </w:rPr>
      </w:pPr>
      <w:r>
        <w:rPr>
          <w:rFonts w:eastAsia="仿宋_GB2312"/>
        </w:rPr>
        <w:t>2.试点单位位置、规模、开展试点工作的优势、废电池管理费用目标回收量等。</w:t>
      </w:r>
    </w:p>
    <w:p>
      <w:pPr>
        <w:ind w:firstLine="670" w:firstLineChars="212"/>
        <w:rPr>
          <w:rFonts w:eastAsia="仿宋_GB2312"/>
        </w:rPr>
      </w:pPr>
      <w:r>
        <w:rPr>
          <w:rFonts w:eastAsia="仿宋_GB2312"/>
        </w:rPr>
        <w:t>3.收集站、暂存点等贮存设施的基本情况、转运车辆、人员配备及培训等情况。</w:t>
      </w:r>
    </w:p>
    <w:p>
      <w:pPr>
        <w:ind w:firstLine="632" w:firstLineChars="200"/>
        <w:rPr>
          <w:rFonts w:eastAsia="黑体"/>
        </w:rPr>
      </w:pPr>
      <w:r>
        <w:rPr>
          <w:rFonts w:hAnsi="黑体" w:eastAsia="黑体"/>
        </w:rPr>
        <w:t>二、污染防治措施</w:t>
      </w:r>
    </w:p>
    <w:p>
      <w:pPr>
        <w:ind w:firstLine="670" w:firstLineChars="212"/>
        <w:rPr>
          <w:rFonts w:eastAsia="仿宋_GB2312"/>
        </w:rPr>
      </w:pPr>
      <w:r>
        <w:rPr>
          <w:rFonts w:eastAsia="仿宋_GB2312"/>
        </w:rPr>
        <w:t>贮存设施污染防治情况（地面防渗、防腐，防雨措施等）、转运车辆、应急物资清单、包装设施情况。</w:t>
      </w:r>
    </w:p>
    <w:p>
      <w:pPr>
        <w:ind w:firstLine="670" w:firstLineChars="212"/>
        <w:rPr>
          <w:rFonts w:eastAsia="仿宋_GB2312"/>
        </w:rPr>
      </w:pPr>
      <w:r>
        <w:rPr>
          <w:rFonts w:eastAsia="仿宋_GB2312"/>
        </w:rPr>
        <w:t>富液废铅蓄电池带酸回收情况及回收环节遏制“倒酸”的有效措施。</w:t>
      </w:r>
    </w:p>
    <w:p>
      <w:pPr>
        <w:ind w:firstLine="632" w:firstLineChars="200"/>
        <w:rPr>
          <w:rFonts w:eastAsia="黑体"/>
        </w:rPr>
      </w:pPr>
      <w:r>
        <w:rPr>
          <w:rFonts w:hAnsi="黑体" w:eastAsia="黑体"/>
        </w:rPr>
        <w:t>三、环境与安全管理制度</w:t>
      </w:r>
    </w:p>
    <w:p>
      <w:pPr>
        <w:ind w:firstLine="200"/>
        <w:rPr>
          <w:rFonts w:eastAsia="仿宋_GB2312"/>
        </w:rPr>
      </w:pPr>
      <w:r>
        <w:rPr>
          <w:rFonts w:eastAsia="仿宋_GB2312"/>
        </w:rPr>
        <w:t>按照法律法规规章建立管理制度、制定应急预案、开展应急演练等情况。</w:t>
      </w:r>
    </w:p>
    <w:p>
      <w:pPr>
        <w:ind w:firstLine="632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四、废铅蓄电池收集、转运和处置试点方案</w:t>
      </w:r>
    </w:p>
    <w:p>
      <w:pPr>
        <w:ind w:firstLine="632" w:firstLineChars="200"/>
        <w:rPr>
          <w:rFonts w:eastAsia="仿宋_GB2312"/>
        </w:rPr>
      </w:pPr>
      <w:r>
        <w:rPr>
          <w:rFonts w:eastAsia="仿宋_GB2312"/>
        </w:rPr>
        <w:t>废铅蓄电池收集服务范围、贮存能力和转运量估算、废铅蓄电池规范流向的措施、运输方案及路线、利用处置去向（与持有危险废物经营许可证单位签订的合作意向书）。建立信息管理系统的计划，对相关收集、贮存、转运、利用处置信息进行记录和追踪。</w:t>
      </w:r>
    </w:p>
    <w:p>
      <w:pPr>
        <w:ind w:firstLine="632" w:firstLineChars="200"/>
        <w:rPr>
          <w:rFonts w:eastAsia="黑体"/>
        </w:rPr>
      </w:pPr>
      <w:r>
        <w:rPr>
          <w:rFonts w:hAnsi="黑体" w:eastAsia="黑体"/>
        </w:rPr>
        <w:t>五、注册确认企业统一编码</w:t>
      </w:r>
    </w:p>
    <w:p>
      <w:pPr>
        <w:ind w:firstLine="632" w:firstLineChars="200"/>
        <w:rPr>
          <w:rFonts w:eastAsia="仿宋_GB2312"/>
        </w:rPr>
      </w:pPr>
      <w:r>
        <w:rPr>
          <w:rFonts w:eastAsia="仿宋_GB2312"/>
        </w:rPr>
        <w:t>为建立全国性废铅蓄电池回收信息统计，便于各省、市及品牌企业统计废铅蓄电池回收数量，各试点企业须注册确定其编码（系统自动编码）。编码规则见附件2。</w:t>
      </w: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</w:pPr>
    </w:p>
    <w:p>
      <w:pPr>
        <w:ind w:firstLine="200"/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1418" w:gutter="0"/>
          <w:pgNumType w:start="1"/>
          <w:cols w:space="720" w:num="1"/>
          <w:docGrid w:type="linesAndChars" w:linePitch="610" w:charSpace="-849"/>
        </w:sectPr>
      </w:pPr>
    </w:p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rPr>
          <w:rFonts w:eastAsia="黑体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山东省试点</w:t>
      </w:r>
      <w:r>
        <w:rPr>
          <w:rFonts w:hint="eastAsia" w:eastAsia="方正小标宋简体"/>
          <w:b/>
          <w:bCs/>
          <w:sz w:val="44"/>
          <w:szCs w:val="44"/>
        </w:rPr>
        <w:t>单位</w:t>
      </w:r>
      <w:r>
        <w:rPr>
          <w:rFonts w:eastAsia="方正小标宋简体"/>
          <w:b/>
          <w:bCs/>
          <w:sz w:val="44"/>
          <w:szCs w:val="44"/>
        </w:rPr>
        <w:t>注册</w:t>
      </w:r>
      <w:r>
        <w:rPr>
          <w:rFonts w:hint="eastAsia" w:eastAsia="方正小标宋简体"/>
          <w:b/>
          <w:bCs/>
          <w:sz w:val="44"/>
          <w:szCs w:val="44"/>
        </w:rPr>
        <w:t>及</w:t>
      </w:r>
      <w:r>
        <w:rPr>
          <w:rFonts w:eastAsia="方正小标宋简体"/>
          <w:b/>
          <w:bCs/>
          <w:sz w:val="44"/>
          <w:szCs w:val="44"/>
        </w:rPr>
        <w:t>贮存场所编码规则</w:t>
      </w:r>
    </w:p>
    <w:p>
      <w:pPr>
        <w:spacing w:line="600" w:lineRule="exact"/>
        <w:jc w:val="center"/>
      </w:pPr>
    </w:p>
    <w:p>
      <w:pPr>
        <w:ind w:left="707"/>
        <w:rPr>
          <w:rFonts w:eastAsia="仿宋_GB2312"/>
        </w:rPr>
      </w:pPr>
      <w:r>
        <w:rPr>
          <w:rFonts w:eastAsia="仿宋_GB2312"/>
        </w:rPr>
        <w:t xml:space="preserve">编码规则：XXXXXX--XX--XX--XXX--XXX </w:t>
      </w:r>
    </w:p>
    <w:p>
      <w:pPr>
        <w:ind w:left="707"/>
        <w:rPr>
          <w:rFonts w:eastAsia="仿宋_GB2312"/>
        </w:rPr>
      </w:pPr>
      <w:r>
        <w:rPr>
          <w:rFonts w:eastAsia="仿宋_GB2312"/>
        </w:rPr>
        <w:t>省（市）、市编码--收集站编码--收集站序列码--暂存点编码--铅蓄电池生产企业与废铅蓄电池收集处置企业编码。</w:t>
      </w:r>
    </w:p>
    <w:p>
      <w:pPr>
        <w:ind w:firstLine="689" w:firstLineChars="218"/>
        <w:rPr>
          <w:rFonts w:eastAsia="仿宋_GB2312"/>
        </w:rPr>
      </w:pPr>
      <w:r>
        <w:rPr>
          <w:rFonts w:eastAsia="仿宋_GB2312"/>
        </w:rPr>
        <w:t>1.省（市）、市编码：执行全国行政区划统一编码（如：370101，山东省济南市辖区、370201山东省青岛市辖区、110100北京市辖区、120100天津市辖区等）。</w:t>
      </w:r>
    </w:p>
    <w:p>
      <w:pPr>
        <w:ind w:firstLine="689" w:firstLineChars="218"/>
        <w:rPr>
          <w:rFonts w:eastAsia="仿宋_GB2312"/>
        </w:rPr>
      </w:pPr>
      <w:r>
        <w:rPr>
          <w:rFonts w:eastAsia="仿宋_GB2312"/>
        </w:rPr>
        <w:t>2.收集站编码：01—99。</w:t>
      </w:r>
    </w:p>
    <w:p>
      <w:pPr>
        <w:ind w:firstLine="689" w:firstLineChars="218"/>
        <w:rPr>
          <w:rFonts w:eastAsia="仿宋_GB2312"/>
        </w:rPr>
      </w:pPr>
      <w:r>
        <w:rPr>
          <w:rFonts w:eastAsia="仿宋_GB2312"/>
        </w:rPr>
        <w:t>3.收集站序列码：01—99。</w:t>
      </w:r>
    </w:p>
    <w:p>
      <w:pPr>
        <w:ind w:firstLine="689" w:firstLineChars="218"/>
        <w:rPr>
          <w:rFonts w:hint="eastAsia" w:eastAsia="仿宋_GB2312"/>
        </w:rPr>
      </w:pPr>
      <w:r>
        <w:rPr>
          <w:rFonts w:eastAsia="仿宋_GB2312"/>
        </w:rPr>
        <w:t>4.暂存点编码：001—999</w:t>
      </w:r>
      <w:r>
        <w:rPr>
          <w:rFonts w:hint="eastAsia" w:eastAsia="仿宋_GB2312"/>
        </w:rPr>
        <w:t>。</w:t>
      </w:r>
    </w:p>
    <w:p>
      <w:pPr>
        <w:ind w:firstLine="689" w:firstLineChars="218"/>
        <w:rPr>
          <w:rFonts w:eastAsia="仿宋_GB2312"/>
        </w:rPr>
      </w:pPr>
      <w:r>
        <w:rPr>
          <w:rFonts w:eastAsia="仿宋_GB2312"/>
        </w:rPr>
        <w:t>5.暂存点序列码：001—999。</w:t>
      </w:r>
    </w:p>
    <w:p>
      <w:pPr>
        <w:ind w:firstLine="632" w:firstLineChars="200"/>
        <w:rPr>
          <w:rFonts w:eastAsia="仿宋_GB2312"/>
        </w:rPr>
      </w:pPr>
      <w:r>
        <w:rPr>
          <w:rFonts w:eastAsia="仿宋_GB2312"/>
        </w:rPr>
        <w:t>注：01—79、001—799，为铅蓄电池生产企业统一编码；</w:t>
      </w:r>
    </w:p>
    <w:p>
      <w:pPr>
        <w:ind w:firstLine="632" w:firstLineChars="200"/>
        <w:rPr>
          <w:rFonts w:eastAsia="仿宋_GB2312"/>
        </w:rPr>
      </w:pPr>
      <w:r>
        <w:rPr>
          <w:rFonts w:eastAsia="仿宋_GB2312"/>
        </w:rPr>
        <w:t>80—99、800—999，为废铅蓄电池收集、处置企业统一编码。</w:t>
      </w:r>
    </w:p>
    <w:p>
      <w:pPr>
        <w:ind w:firstLine="699" w:firstLineChars="221"/>
        <w:rPr>
          <w:rFonts w:eastAsia="仿宋_GB2312"/>
        </w:rPr>
      </w:pPr>
    </w:p>
    <w:p>
      <w:pPr>
        <w:ind w:firstLine="640"/>
        <w:rPr>
          <w:rFonts w:eastAsia="仿宋_GB2312"/>
        </w:rPr>
      </w:pPr>
    </w:p>
    <w:p>
      <w:pPr>
        <w:ind w:firstLine="640"/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黑体"/>
        </w:rPr>
      </w:pPr>
      <w:r>
        <w:rPr>
          <w:rFonts w:eastAsia="仿宋_GB2312"/>
        </w:rPr>
        <w:br w:type="page"/>
      </w:r>
      <w:r>
        <w:rPr>
          <w:rFonts w:hAnsi="黑体" w:eastAsia="黑体"/>
        </w:rPr>
        <w:t>附件</w:t>
      </w:r>
      <w:r>
        <w:rPr>
          <w:rFonts w:eastAsia="黑体"/>
        </w:rPr>
        <w:t>3</w:t>
      </w:r>
    </w:p>
    <w:p>
      <w:pPr>
        <w:spacing w:before="292" w:beforeLines="50"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山东省废铅蓄电池收集和转移台账</w:t>
      </w:r>
    </w:p>
    <w:p>
      <w:pPr>
        <w:spacing w:after="292" w:afterLines="50"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记录表/月报表</w:t>
      </w:r>
    </w:p>
    <w:p>
      <w:pPr>
        <w:ind w:firstLine="412" w:firstLineChars="20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生产或委托企业：           </w:t>
      </w:r>
      <w:r>
        <w:rPr>
          <w:rFonts w:hint="eastAsia" w:ascii="黑体" w:hAnsi="黑体" w:eastAsia="黑体"/>
          <w:sz w:val="21"/>
          <w:szCs w:val="21"/>
        </w:rPr>
        <w:t xml:space="preserve">                                   </w:t>
      </w:r>
      <w:r>
        <w:rPr>
          <w:rFonts w:ascii="黑体" w:hAnsi="黑体" w:eastAsia="黑体"/>
          <w:sz w:val="21"/>
          <w:szCs w:val="21"/>
        </w:rPr>
        <w:t xml:space="preserve">    注册编码：</w:t>
      </w:r>
    </w:p>
    <w:p>
      <w:pPr>
        <w:spacing w:line="600" w:lineRule="exact"/>
        <w:jc w:val="center"/>
        <w:rPr>
          <w:rFonts w:eastAsia="黑体"/>
        </w:rPr>
      </w:pPr>
      <w:r>
        <w:rPr>
          <w:rFonts w:hAnsi="黑体" w:eastAsia="黑体"/>
        </w:rPr>
        <w:t>表</w:t>
      </w:r>
      <w:r>
        <w:rPr>
          <w:rFonts w:eastAsia="黑体"/>
        </w:rPr>
        <w:t xml:space="preserve">1  </w:t>
      </w:r>
      <w:r>
        <w:rPr>
          <w:rFonts w:hAnsi="黑体" w:eastAsia="黑体"/>
        </w:rPr>
        <w:t>废铅蓄电池收集和转移台账记录表</w:t>
      </w:r>
    </w:p>
    <w:p>
      <w:pPr>
        <w:spacing w:line="500" w:lineRule="exact"/>
        <w:rPr>
          <w:rFonts w:eastAsia="黑体"/>
          <w:sz w:val="21"/>
          <w:szCs w:val="21"/>
        </w:rPr>
      </w:pPr>
      <w:r>
        <w:rPr>
          <w:rFonts w:hAnsi="黑体" w:eastAsia="黑体"/>
          <w:sz w:val="21"/>
          <w:szCs w:val="21"/>
        </w:rPr>
        <w:t>单位名称：（公章）</w:t>
      </w:r>
    </w:p>
    <w:tbl>
      <w:tblPr>
        <w:tblStyle w:val="4"/>
        <w:tblW w:w="94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89"/>
        <w:gridCol w:w="769"/>
        <w:gridCol w:w="890"/>
        <w:gridCol w:w="1127"/>
        <w:gridCol w:w="745"/>
        <w:gridCol w:w="893"/>
        <w:gridCol w:w="1138"/>
        <w:gridCol w:w="893"/>
        <w:gridCol w:w="1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日期</w:t>
            </w:r>
          </w:p>
        </w:tc>
        <w:tc>
          <w:tcPr>
            <w:tcW w:w="35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接收情况</w:t>
            </w:r>
          </w:p>
        </w:tc>
        <w:tc>
          <w:tcPr>
            <w:tcW w:w="27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转移情况</w:t>
            </w: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库存情况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来源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型号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数量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（只）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重量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（千克）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接收单位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数量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（只）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重量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（千克）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数量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（只）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重量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（千克）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合计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</w:tbl>
    <w:p>
      <w:pPr>
        <w:spacing w:after="292" w:afterLines="50" w:line="300" w:lineRule="exact"/>
        <w:rPr>
          <w:rFonts w:eastAsia="黑体"/>
          <w:sz w:val="24"/>
          <w:szCs w:val="24"/>
        </w:rPr>
      </w:pPr>
      <w:r>
        <w:rPr>
          <w:rFonts w:hAnsi="黑体" w:eastAsia="黑体"/>
          <w:sz w:val="24"/>
          <w:szCs w:val="24"/>
        </w:rPr>
        <w:t>审核人：</w:t>
      </w:r>
      <w:r>
        <w:rPr>
          <w:rFonts w:hint="eastAsia" w:hAnsi="黑体" w:eastAsia="黑体"/>
          <w:sz w:val="24"/>
          <w:szCs w:val="24"/>
        </w:rPr>
        <w:t xml:space="preserve">                   </w:t>
      </w:r>
      <w:r>
        <w:rPr>
          <w:rFonts w:hAnsi="黑体" w:eastAsia="黑体"/>
          <w:sz w:val="24"/>
          <w:szCs w:val="24"/>
        </w:rPr>
        <w:t>填表人：</w:t>
      </w:r>
      <w:r>
        <w:rPr>
          <w:rFonts w:hint="eastAsia" w:hAnsi="黑体" w:eastAsia="黑体"/>
          <w:sz w:val="24"/>
          <w:szCs w:val="24"/>
        </w:rPr>
        <w:t xml:space="preserve">             </w:t>
      </w:r>
      <w:r>
        <w:rPr>
          <w:rFonts w:hAnsi="黑体" w:eastAsia="黑体"/>
          <w:sz w:val="24"/>
          <w:szCs w:val="24"/>
        </w:rPr>
        <w:t>填表日期：</w:t>
      </w:r>
      <w:r>
        <w:rPr>
          <w:rFonts w:hint="eastAsia" w:hAnsi="黑体" w:eastAsia="黑体"/>
          <w:sz w:val="24"/>
          <w:szCs w:val="24"/>
        </w:rPr>
        <w:t xml:space="preserve"> </w:t>
      </w:r>
      <w:r>
        <w:rPr>
          <w:rFonts w:hAnsi="黑体" w:eastAsia="黑体"/>
          <w:sz w:val="24"/>
          <w:szCs w:val="24"/>
        </w:rPr>
        <w:t>年</w:t>
      </w:r>
      <w:r>
        <w:rPr>
          <w:rFonts w:hint="eastAsia" w:hAnsi="黑体" w:eastAsia="黑体"/>
          <w:sz w:val="24"/>
          <w:szCs w:val="24"/>
        </w:rPr>
        <w:t xml:space="preserve">  </w:t>
      </w:r>
      <w:r>
        <w:rPr>
          <w:rFonts w:hAnsi="黑体" w:eastAsia="黑体"/>
          <w:sz w:val="24"/>
          <w:szCs w:val="24"/>
        </w:rPr>
        <w:t>月</w:t>
      </w:r>
      <w:r>
        <w:rPr>
          <w:rFonts w:hint="eastAsia" w:hAnsi="黑体" w:eastAsia="黑体"/>
          <w:sz w:val="24"/>
          <w:szCs w:val="24"/>
        </w:rPr>
        <w:t xml:space="preserve">  </w:t>
      </w:r>
      <w:r>
        <w:rPr>
          <w:rFonts w:hAnsi="黑体" w:eastAsia="黑体"/>
          <w:sz w:val="24"/>
          <w:szCs w:val="24"/>
        </w:rPr>
        <w:t>日</w:t>
      </w:r>
    </w:p>
    <w:p>
      <w:pPr>
        <w:spacing w:line="600" w:lineRule="exact"/>
        <w:jc w:val="center"/>
        <w:rPr>
          <w:rFonts w:eastAsia="黑体"/>
        </w:rPr>
      </w:pPr>
      <w:r>
        <w:rPr>
          <w:rFonts w:hAnsi="黑体" w:eastAsia="黑体"/>
        </w:rPr>
        <w:t>表</w:t>
      </w:r>
      <w:r>
        <w:rPr>
          <w:rFonts w:eastAsia="黑体"/>
        </w:rPr>
        <w:t xml:space="preserve">2 </w:t>
      </w:r>
      <w:r>
        <w:rPr>
          <w:rFonts w:hAnsi="黑体" w:eastAsia="黑体"/>
        </w:rPr>
        <w:t>废铅蓄电池收集和转移月报告表</w:t>
      </w:r>
    </w:p>
    <w:p>
      <w:pPr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单位名称：（公章）           </w:t>
      </w:r>
      <w:r>
        <w:rPr>
          <w:rFonts w:hint="eastAsia" w:ascii="黑体" w:hAnsi="黑体" w:eastAsia="黑体"/>
          <w:sz w:val="21"/>
          <w:szCs w:val="21"/>
        </w:rPr>
        <w:t xml:space="preserve">                               </w:t>
      </w:r>
      <w:r>
        <w:rPr>
          <w:rFonts w:ascii="黑体" w:hAnsi="黑体" w:eastAsia="黑体"/>
          <w:sz w:val="21"/>
          <w:szCs w:val="21"/>
        </w:rPr>
        <w:t xml:space="preserve">    单位法人或授权人签字：</w:t>
      </w:r>
    </w:p>
    <w:p>
      <w:pPr>
        <w:spacing w:line="300" w:lineRule="exact"/>
        <w:rPr>
          <w:rFonts w:eastAsia="黑体"/>
          <w:sz w:val="24"/>
        </w:rPr>
      </w:pPr>
      <w:r>
        <w:rPr>
          <w:rFonts w:hAnsi="黑体" w:eastAsia="黑体"/>
          <w:sz w:val="24"/>
        </w:rPr>
        <w:t>报告起止日期</w:t>
      </w:r>
      <w:r>
        <w:rPr>
          <w:rFonts w:eastAsia="黑体"/>
          <w:sz w:val="24"/>
        </w:rPr>
        <w:t xml:space="preserve">:    </w:t>
      </w:r>
      <w:r>
        <w:rPr>
          <w:rFonts w:hAnsi="黑体" w:eastAsia="黑体"/>
          <w:sz w:val="24"/>
        </w:rPr>
        <w:t>年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月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日至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年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月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日</w:t>
      </w:r>
    </w:p>
    <w:tbl>
      <w:tblPr>
        <w:tblStyle w:val="4"/>
        <w:tblW w:w="9381" w:type="dxa"/>
        <w:jc w:val="center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72"/>
        <w:gridCol w:w="2102"/>
        <w:gridCol w:w="2103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收集情况</w:t>
            </w:r>
          </w:p>
        </w:tc>
        <w:tc>
          <w:tcPr>
            <w:tcW w:w="4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转移情况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库存情况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来源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重量（千克）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接收单位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重量（千克）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重量（千克）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合计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</w:tbl>
    <w:p>
      <w:pPr>
        <w:spacing w:after="116" w:afterLines="20" w:line="300" w:lineRule="exact"/>
        <w:rPr>
          <w:rFonts w:eastAsia="黑体"/>
          <w:sz w:val="24"/>
        </w:rPr>
      </w:pPr>
      <w:r>
        <w:rPr>
          <w:rFonts w:hAnsi="黑体" w:eastAsia="黑体"/>
          <w:sz w:val="24"/>
        </w:rPr>
        <w:t>审核人：</w:t>
      </w:r>
      <w:r>
        <w:rPr>
          <w:rFonts w:eastAsia="黑体"/>
          <w:sz w:val="24"/>
        </w:rPr>
        <w:t xml:space="preserve">                </w:t>
      </w:r>
      <w:r>
        <w:rPr>
          <w:rFonts w:hAnsi="黑体" w:eastAsia="黑体"/>
          <w:sz w:val="24"/>
        </w:rPr>
        <w:t>填表人：</w:t>
      </w:r>
      <w:r>
        <w:rPr>
          <w:rFonts w:eastAsia="黑体"/>
          <w:sz w:val="24"/>
        </w:rPr>
        <w:t xml:space="preserve">                     </w:t>
      </w:r>
      <w:r>
        <w:rPr>
          <w:rFonts w:hAnsi="黑体" w:eastAsia="黑体"/>
          <w:sz w:val="24"/>
        </w:rPr>
        <w:t>填表日期：年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月</w:t>
      </w:r>
      <w:r>
        <w:rPr>
          <w:rFonts w:eastAsia="黑体"/>
          <w:sz w:val="24"/>
        </w:rPr>
        <w:t xml:space="preserve">  </w:t>
      </w:r>
      <w:r>
        <w:rPr>
          <w:rFonts w:hAnsi="黑体" w:eastAsia="黑体"/>
          <w:sz w:val="24"/>
        </w:rPr>
        <w:t>日</w:t>
      </w:r>
    </w:p>
    <w:p>
      <w:pPr>
        <w:spacing w:after="292" w:afterLines="50" w:line="300" w:lineRule="exact"/>
        <w:rPr>
          <w:rFonts w:hint="eastAsia" w:hAnsi="黑体" w:eastAsia="黑体"/>
          <w:sz w:val="24"/>
        </w:rPr>
      </w:pPr>
      <w:r>
        <w:rPr>
          <w:rFonts w:hAnsi="黑体" w:eastAsia="黑体"/>
          <w:sz w:val="24"/>
        </w:rPr>
        <w:t>注：</w:t>
      </w:r>
      <w:r>
        <w:rPr>
          <w:rFonts w:eastAsia="黑体"/>
          <w:sz w:val="24"/>
        </w:rPr>
        <w:t>“</w:t>
      </w:r>
      <w:r>
        <w:rPr>
          <w:rFonts w:hAnsi="黑体" w:eastAsia="黑体"/>
          <w:sz w:val="24"/>
        </w:rPr>
        <w:t>来源</w:t>
      </w:r>
      <w:r>
        <w:rPr>
          <w:rFonts w:eastAsia="黑体"/>
          <w:sz w:val="24"/>
        </w:rPr>
        <w:t>”</w:t>
      </w:r>
      <w:r>
        <w:rPr>
          <w:rFonts w:hAnsi="黑体" w:eastAsia="黑体"/>
          <w:sz w:val="24"/>
        </w:rPr>
        <w:t>需填写负责收集和转移废铅蓄电池个人或单位名称。</w:t>
      </w:r>
    </w:p>
    <w:p>
      <w:pPr>
        <w:tabs>
          <w:tab w:val="left" w:pos="7742"/>
          <w:tab w:val="left" w:pos="8374"/>
        </w:tabs>
        <w:rPr>
          <w:rFonts w:eastAsia="黑体"/>
        </w:rPr>
        <w:sectPr>
          <w:footerReference r:id="rId5" w:type="default"/>
          <w:pgSz w:w="11906" w:h="16838"/>
          <w:pgMar w:top="1985" w:right="1474" w:bottom="1985" w:left="1588" w:header="851" w:footer="1701" w:gutter="0"/>
          <w:cols w:space="425" w:num="1"/>
          <w:docGrid w:type="linesAndChars" w:linePitch="584" w:charSpace="-849"/>
        </w:sectPr>
      </w:pPr>
    </w:p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4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山东省废铅蓄电池贮存场所现场</w:t>
      </w:r>
      <w:r>
        <w:rPr>
          <w:rFonts w:hint="eastAsia" w:eastAsia="方正小标宋简体"/>
          <w:b/>
          <w:bCs/>
          <w:sz w:val="44"/>
          <w:szCs w:val="44"/>
        </w:rPr>
        <w:t>环保</w:t>
      </w:r>
      <w:r>
        <w:rPr>
          <w:rFonts w:eastAsia="方正小标宋简体"/>
          <w:b/>
          <w:bCs/>
          <w:sz w:val="44"/>
          <w:szCs w:val="44"/>
        </w:rPr>
        <w:t>核查表</w:t>
      </w:r>
    </w:p>
    <w:p>
      <w:pPr>
        <w:rPr>
          <w:rFonts w:eastAsia="仿宋_GB2312"/>
          <w:sz w:val="24"/>
        </w:rPr>
      </w:pPr>
    </w:p>
    <w:p>
      <w:pPr>
        <w:rPr>
          <w:rFonts w:eastAsia="黑体"/>
          <w:sz w:val="21"/>
          <w:szCs w:val="21"/>
        </w:rPr>
      </w:pPr>
      <w:r>
        <w:rPr>
          <w:rFonts w:hAnsi="黑体" w:eastAsia="黑体"/>
          <w:sz w:val="21"/>
          <w:szCs w:val="21"/>
        </w:rPr>
        <w:t>贮存场所类别：</w:t>
      </w:r>
      <w:r>
        <w:rPr>
          <w:rFonts w:eastAsia="黑体"/>
          <w:sz w:val="21"/>
          <w:szCs w:val="21"/>
        </w:rPr>
        <w:t xml:space="preserve">            </w:t>
      </w:r>
      <w:r>
        <w:rPr>
          <w:rFonts w:hAnsi="黑体" w:eastAsia="黑体"/>
          <w:sz w:val="21"/>
          <w:szCs w:val="21"/>
        </w:rPr>
        <w:t>贮存场所名称：</w:t>
      </w:r>
      <w:r>
        <w:rPr>
          <w:rFonts w:eastAsia="黑体"/>
          <w:sz w:val="21"/>
          <w:szCs w:val="21"/>
        </w:rPr>
        <w:t xml:space="preserve">               </w:t>
      </w:r>
      <w:r>
        <w:rPr>
          <w:rFonts w:hAnsi="黑体" w:eastAsia="黑体"/>
          <w:sz w:val="21"/>
          <w:szCs w:val="21"/>
        </w:rPr>
        <w:t>贮存场所编码：</w:t>
      </w:r>
      <w:r>
        <w:rPr>
          <w:rFonts w:eastAsia="黑体"/>
          <w:sz w:val="21"/>
          <w:szCs w:val="21"/>
        </w:rPr>
        <w:t xml:space="preserve">             </w:t>
      </w:r>
      <w:r>
        <w:rPr>
          <w:rFonts w:hAnsi="黑体" w:eastAsia="黑体"/>
          <w:sz w:val="21"/>
          <w:szCs w:val="21"/>
        </w:rPr>
        <w:t>地址：</w:t>
      </w:r>
      <w:r>
        <w:rPr>
          <w:rFonts w:eastAsia="黑体"/>
          <w:sz w:val="21"/>
          <w:szCs w:val="21"/>
        </w:rPr>
        <w:t xml:space="preserve">            </w:t>
      </w:r>
      <w:r>
        <w:rPr>
          <w:rFonts w:hAnsi="黑体" w:eastAsia="黑体"/>
          <w:sz w:val="21"/>
          <w:szCs w:val="21"/>
        </w:rPr>
        <w:t>核查时间：</w:t>
      </w:r>
      <w:r>
        <w:rPr>
          <w:rFonts w:eastAsia="黑体"/>
          <w:sz w:val="21"/>
          <w:szCs w:val="21"/>
        </w:rPr>
        <w:t xml:space="preserve">     </w:t>
      </w:r>
      <w:r>
        <w:rPr>
          <w:rFonts w:hAnsi="黑体" w:eastAsia="黑体"/>
          <w:sz w:val="21"/>
          <w:szCs w:val="21"/>
        </w:rPr>
        <w:t>年</w:t>
      </w:r>
      <w:r>
        <w:rPr>
          <w:rFonts w:eastAsia="黑体"/>
          <w:sz w:val="21"/>
          <w:szCs w:val="21"/>
        </w:rPr>
        <w:t xml:space="preserve">    </w:t>
      </w:r>
      <w:r>
        <w:rPr>
          <w:rFonts w:hAnsi="黑体" w:eastAsia="黑体"/>
          <w:sz w:val="21"/>
          <w:szCs w:val="21"/>
        </w:rPr>
        <w:t>月</w:t>
      </w:r>
      <w:r>
        <w:rPr>
          <w:rFonts w:eastAsia="黑体"/>
          <w:sz w:val="21"/>
          <w:szCs w:val="21"/>
        </w:rPr>
        <w:t xml:space="preserve">       </w:t>
      </w:r>
      <w:r>
        <w:rPr>
          <w:rFonts w:hAnsi="黑体" w:eastAsia="黑体"/>
          <w:sz w:val="21"/>
          <w:szCs w:val="21"/>
        </w:rPr>
        <w:t>日</w:t>
      </w:r>
    </w:p>
    <w:tbl>
      <w:tblPr>
        <w:tblStyle w:val="4"/>
        <w:tblW w:w="141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96"/>
        <w:gridCol w:w="7830"/>
        <w:gridCol w:w="2157"/>
        <w:gridCol w:w="828"/>
        <w:gridCol w:w="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考核指标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合格标准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检查方法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合格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运输工具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拥有具备防雨、防渗措施的运输车辆。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包装工具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10" w:lineRule="exact"/>
              <w:jc w:val="both"/>
              <w:textAlignment w:val="baseline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sz w:val="21"/>
                <w:szCs w:val="21"/>
              </w:rPr>
              <w:t>已破损的废铅酸蓄电池必须在专用容器中运输，专用容器应不易破损、变形，其所用材料能有效地防止渗漏、扩散，并耐酸腐蚀。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right="-107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10" w:lineRule="exact"/>
              <w:jc w:val="both"/>
              <w:textAlignment w:val="baseline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sz w:val="21"/>
                <w:szCs w:val="21"/>
              </w:rPr>
              <w:t>废铅酸电池有电解液渗漏的，其渗漏液应贮存在耐酸容器中。已经拆装的铅材料应包装后收集。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10" w:lineRule="exact"/>
              <w:jc w:val="both"/>
              <w:textAlignment w:val="baseline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sz w:val="21"/>
                <w:szCs w:val="21"/>
              </w:rPr>
              <w:t>装有已破损的废铅酸蓄电池的容器必须粘贴符合</w:t>
            </w: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GB 18597</w:t>
            </w:r>
            <w:r>
              <w:rPr>
                <w:rFonts w:ascii="Times New Roman" w:hAnsi="黑体" w:eastAsia="黑体" w:cs="Times New Roman"/>
                <w:bCs/>
                <w:sz w:val="21"/>
                <w:szCs w:val="21"/>
              </w:rPr>
              <w:t>中附录</w:t>
            </w: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A</w:t>
            </w:r>
            <w:r>
              <w:rPr>
                <w:rFonts w:ascii="Times New Roman" w:hAnsi="黑体" w:eastAsia="黑体" w:cs="Times New Roman"/>
                <w:bCs/>
                <w:sz w:val="21"/>
                <w:szCs w:val="21"/>
              </w:rPr>
              <w:t>所要求的危险废物标签。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hAnsi="黑体"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中转和临时</w:t>
            </w:r>
          </w:p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存放设施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必须具备独立的场地，具备足够的贮存空间，暂贮点占地面积：城市中心城区不小于</w:t>
            </w:r>
            <w:r>
              <w:rPr>
                <w:rFonts w:eastAsia="黑体"/>
                <w:sz w:val="21"/>
                <w:szCs w:val="21"/>
              </w:rPr>
              <w:t>30</w:t>
            </w:r>
            <w:r>
              <w:rPr>
                <w:rFonts w:hAnsi="黑体" w:eastAsia="黑体"/>
                <w:sz w:val="21"/>
                <w:szCs w:val="21"/>
              </w:rPr>
              <w:t>平方米、郊区不小于</w:t>
            </w:r>
            <w:r>
              <w:rPr>
                <w:rFonts w:eastAsia="黑体"/>
                <w:sz w:val="21"/>
                <w:szCs w:val="21"/>
              </w:rPr>
              <w:t>100</w:t>
            </w:r>
            <w:r>
              <w:rPr>
                <w:rFonts w:hAnsi="黑体" w:eastAsia="黑体"/>
                <w:sz w:val="21"/>
                <w:szCs w:val="21"/>
              </w:rPr>
              <w:t>平方米，贮存量不大于</w:t>
            </w:r>
            <w:r>
              <w:rPr>
                <w:rFonts w:eastAsia="黑体"/>
                <w:sz w:val="21"/>
                <w:szCs w:val="21"/>
              </w:rPr>
              <w:t>30</w:t>
            </w:r>
            <w:r>
              <w:rPr>
                <w:rFonts w:hAnsi="黑体" w:eastAsia="黑体"/>
                <w:sz w:val="21"/>
                <w:szCs w:val="21"/>
              </w:rPr>
              <w:t>吨，时间不超过</w:t>
            </w:r>
            <w:r>
              <w:rPr>
                <w:rFonts w:eastAsia="黑体"/>
                <w:sz w:val="21"/>
                <w:szCs w:val="21"/>
              </w:rPr>
              <w:t>10</w:t>
            </w:r>
            <w:r>
              <w:rPr>
                <w:rFonts w:hAnsi="黑体" w:eastAsia="黑体"/>
                <w:sz w:val="21"/>
                <w:szCs w:val="21"/>
              </w:rPr>
              <w:t>日。收集站占地面积应在</w:t>
            </w:r>
            <w:r>
              <w:rPr>
                <w:rFonts w:eastAsia="黑体"/>
                <w:sz w:val="21"/>
                <w:szCs w:val="21"/>
              </w:rPr>
              <w:t>500</w:t>
            </w:r>
            <w:r>
              <w:rPr>
                <w:rFonts w:hAnsi="黑体" w:eastAsia="黑体"/>
                <w:sz w:val="21"/>
                <w:szCs w:val="21"/>
              </w:rPr>
              <w:t>平方米以上，贮存时间最长不得超过</w:t>
            </w:r>
            <w:r>
              <w:rPr>
                <w:rFonts w:eastAsia="黑体"/>
                <w:sz w:val="21"/>
                <w:szCs w:val="21"/>
              </w:rPr>
              <w:t>1</w:t>
            </w:r>
            <w:r>
              <w:rPr>
                <w:rFonts w:hAnsi="黑体" w:eastAsia="黑体"/>
                <w:sz w:val="21"/>
                <w:szCs w:val="21"/>
              </w:rPr>
              <w:t>年。贮存点应具有空气排气，液体导流等收集系统，称重设备、防火装置、视频监控等设施。可以以销售单位库房为暂存库，但应配备防止破损废铅酸蓄电池污染环境的必要防护设施，</w:t>
            </w:r>
            <w:r>
              <w:rPr>
                <w:rFonts w:hAnsi="黑体" w:eastAsia="黑体"/>
                <w:kern w:val="0"/>
                <w:sz w:val="21"/>
                <w:szCs w:val="21"/>
              </w:rPr>
              <w:t>并与产品电池隔离，独立分区存放，禁止混放。</w:t>
            </w:r>
            <w:r>
              <w:rPr>
                <w:rFonts w:hAnsi="黑体" w:eastAsia="黑体"/>
                <w:sz w:val="21"/>
                <w:szCs w:val="21"/>
              </w:rPr>
              <w:t>废铅酸蓄电池贮存应同向有序堆放整齐，防止电池短路起火。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现场检查，并查看土地使用证明、租赁合同等文件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贮存设施应为专门场所，符合法律法规要求及当地生态环境部门的有关规定，应避开易燃、易爆等危险品仓库、高压输电线路及各种敏感目标防护区域。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按照</w:t>
            </w:r>
            <w:r>
              <w:rPr>
                <w:rFonts w:eastAsia="黑体"/>
                <w:sz w:val="21"/>
                <w:szCs w:val="21"/>
              </w:rPr>
              <w:t>GB 15562</w:t>
            </w:r>
            <w:r>
              <w:rPr>
                <w:rFonts w:hAnsi="黑体" w:eastAsia="黑体"/>
                <w:sz w:val="21"/>
                <w:szCs w:val="21"/>
              </w:rPr>
              <w:t>标准，设立危险废物警示标志，并只允许专门人员进入库房等设施。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污染防治措施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地面作硬化处理和防腐处理。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贮存设施应防雨，必须远离其他水源和热源。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应有足够的废水收集系统，以便收集处理溢出液。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生产和再生利用处置企业安装的与当地生态环境部门联网的在线</w:t>
            </w:r>
            <w:r>
              <w:rPr>
                <w:rFonts w:hAnsi="黑体" w:eastAsia="黑体"/>
                <w:kern w:val="0"/>
                <w:sz w:val="21"/>
                <w:szCs w:val="21"/>
                <w:lang w:val="en"/>
              </w:rPr>
              <w:t>自动监测和视频监控设备。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5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规章制度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应具有保证危险废物经营安全（废铅酸蓄电池安全收集、集中贮存）的规章制度。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按照试点工作要求建立废铅酸蓄电池回收台账记录制度。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kern w:val="0"/>
                <w:sz w:val="21"/>
                <w:szCs w:val="21"/>
                <w:lang w:val="en"/>
              </w:rPr>
              <w:t>用于信息公开的厂区大门口安装的常规污染物排放数据电子显示屏。</w:t>
            </w: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6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黑体"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事故应急</w:t>
            </w:r>
          </w:p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救援措施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制定具备有效性和可操作性的事故应急管理计划及预案。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查看应急管理计划</w:t>
            </w:r>
          </w:p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应急预案等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配备必要的事故应急物资。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现场检查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综合评估结果：合格</w:t>
            </w:r>
            <w:r>
              <w:rPr>
                <w:rFonts w:eastAsia="黑体"/>
                <w:sz w:val="21"/>
                <w:szCs w:val="21"/>
              </w:rPr>
              <w:t xml:space="preserve">□   </w:t>
            </w:r>
            <w:r>
              <w:rPr>
                <w:rFonts w:hAnsi="黑体" w:eastAsia="黑体"/>
                <w:sz w:val="21"/>
                <w:szCs w:val="21"/>
              </w:rPr>
              <w:t>不合格</w:t>
            </w:r>
            <w:r>
              <w:rPr>
                <w:rFonts w:eastAsia="黑体"/>
                <w:sz w:val="21"/>
                <w:szCs w:val="21"/>
              </w:rPr>
              <w:t>□</w:t>
            </w:r>
          </w:p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不合格原因说明：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核查组组长及成员签字：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6CDA"/>
    <w:rsid w:val="5821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2019-05-13T07:32:00Z</dcterms:created>
  <dc:creator>晴。</dc:creator>
  <cp:lastModifiedBy>晴。</cp:lastModifiedBy>
  <dcterms:modified xsi:type="dcterms:W3CDTF">2019-05-13T07:33:07Z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