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黑体" w:eastAsia="黑体"/>
        </w:rPr>
      </w:pPr>
      <w:r>
        <w:rPr>
          <w:rFonts w:hint="eastAsia" w:ascii="黑体" w:eastAsia="黑体"/>
        </w:rPr>
        <w:t>附件</w:t>
      </w:r>
      <w:r>
        <w:rPr>
          <w:rFonts w:ascii="黑体" w:eastAsia="黑体"/>
        </w:rPr>
        <w:t>1</w:t>
      </w:r>
    </w:p>
    <w:p>
      <w:pPr>
        <w:spacing w:line="600" w:lineRule="exact"/>
        <w:jc w:val="center"/>
        <w:rPr>
          <w:rFonts w:hint="eastAsia" w:ascii="方正小标宋简体" w:eastAsia="方正小标宋简体"/>
          <w:b/>
          <w:sz w:val="44"/>
          <w:szCs w:val="44"/>
        </w:rPr>
      </w:pPr>
      <w:r>
        <w:rPr>
          <w:rFonts w:hint="eastAsia" w:ascii="方正小标宋简体" w:eastAsia="方正小标宋简体"/>
          <w:b/>
          <w:sz w:val="44"/>
          <w:szCs w:val="44"/>
        </w:rPr>
        <w:t>山东省污染源日常环境监管</w:t>
      </w:r>
    </w:p>
    <w:p>
      <w:pPr>
        <w:spacing w:line="600" w:lineRule="exact"/>
        <w:jc w:val="center"/>
        <w:rPr>
          <w:rFonts w:hint="eastAsia" w:ascii="方正小标宋简体" w:eastAsia="方正小标宋简体"/>
          <w:b/>
          <w:sz w:val="44"/>
          <w:szCs w:val="44"/>
        </w:rPr>
      </w:pPr>
      <w:r>
        <w:rPr>
          <w:rFonts w:hint="eastAsia" w:ascii="方正小标宋简体" w:eastAsia="方正小标宋简体"/>
          <w:b/>
          <w:sz w:val="44"/>
          <w:szCs w:val="44"/>
        </w:rPr>
        <w:t>随机抽查制度落实方案</w:t>
      </w:r>
    </w:p>
    <w:p>
      <w:pPr>
        <w:rPr>
          <w:rFonts w:ascii="方正小标宋_GBK" w:eastAsia="方正小标宋_GBK"/>
        </w:rPr>
      </w:pPr>
    </w:p>
    <w:p>
      <w:pPr>
        <w:rPr>
          <w:rFonts w:ascii="仿宋_GB2312" w:eastAsia="仿宋_GB2312"/>
        </w:rPr>
      </w:pPr>
      <w:r>
        <w:rPr>
          <w:rFonts w:ascii="仿宋_GB2312" w:eastAsia="仿宋_GB2312"/>
        </w:rPr>
        <w:t xml:space="preserve">    </w:t>
      </w:r>
      <w:r>
        <w:rPr>
          <w:rFonts w:hint="eastAsia" w:ascii="仿宋_GB2312" w:eastAsia="仿宋_GB2312"/>
        </w:rPr>
        <w:t>根据环保部办公厅《关于在污染源日常环境监管领域推广随机抽查制度的实施方案》(环办〔</w:t>
      </w:r>
      <w:r>
        <w:rPr>
          <w:rFonts w:ascii="仿宋_GB2312" w:eastAsia="仿宋_GB2312"/>
        </w:rPr>
        <w:t>2015</w:t>
      </w:r>
      <w:r>
        <w:rPr>
          <w:rFonts w:hint="eastAsia" w:ascii="仿宋_GB2312" w:eastAsia="仿宋_GB2312"/>
        </w:rPr>
        <w:t>〕</w:t>
      </w:r>
      <w:r>
        <w:rPr>
          <w:rFonts w:ascii="仿宋_GB2312" w:eastAsia="仿宋_GB2312"/>
        </w:rPr>
        <w:t>88</w:t>
      </w:r>
      <w:r>
        <w:rPr>
          <w:rFonts w:hint="eastAsia" w:ascii="仿宋_GB2312" w:eastAsia="仿宋_GB2312"/>
        </w:rPr>
        <w:t>号)，为做好我省污染源日常环境监管随机抽查工作，制定本《方案》。</w:t>
      </w:r>
    </w:p>
    <w:p>
      <w:pPr>
        <w:ind w:firstLine="632" w:firstLineChars="200"/>
        <w:rPr>
          <w:rFonts w:ascii="仿宋_GB2312" w:eastAsia="仿宋_GB2312"/>
        </w:rPr>
      </w:pPr>
      <w:r>
        <w:rPr>
          <w:rFonts w:hint="eastAsia" w:ascii="黑体" w:eastAsia="黑体"/>
        </w:rPr>
        <w:t>一、工作思路</w:t>
      </w:r>
    </w:p>
    <w:p>
      <w:pPr>
        <w:ind w:firstLine="632" w:firstLineChars="200"/>
        <w:rPr>
          <w:rFonts w:ascii="仿宋_GB2312" w:eastAsia="仿宋_GB2312"/>
        </w:rPr>
      </w:pPr>
      <w:r>
        <w:rPr>
          <w:rFonts w:hint="eastAsia" w:ascii="仿宋_GB2312" w:eastAsia="仿宋_GB2312"/>
        </w:rPr>
        <w:t>按照环保部要求，根据我省市、县两级环境执法人员数量、行政区面积、污染源数量、污染源环境守法状态、环境质量和群众投诉情况，划分重点排污单位、一般排污单位和特殊监管对象，合理确定抽查比例，对行政区内污染源进行随机抽查，依法严厉打击各类环境违法行为，促进市场公平竞争，推动环境质量持续改善。</w:t>
      </w:r>
    </w:p>
    <w:p>
      <w:pPr>
        <w:ind w:firstLine="632" w:firstLineChars="200"/>
        <w:rPr>
          <w:rFonts w:ascii="仿宋_GB2312" w:eastAsia="仿宋_GB2312"/>
        </w:rPr>
      </w:pPr>
      <w:r>
        <w:rPr>
          <w:rFonts w:hint="eastAsia" w:ascii="黑体" w:eastAsia="黑体"/>
        </w:rPr>
        <w:t>二、工作任务</w:t>
      </w:r>
    </w:p>
    <w:p>
      <w:pPr>
        <w:ind w:firstLine="645"/>
        <w:rPr>
          <w:rFonts w:ascii="楷体_GB2312" w:eastAsia="楷体_GB2312"/>
          <w:b/>
        </w:rPr>
      </w:pPr>
      <w:r>
        <w:rPr>
          <w:rFonts w:hint="eastAsia" w:ascii="楷体_GB2312" w:eastAsia="楷体_GB2312"/>
          <w:b/>
        </w:rPr>
        <w:t>(一)抽查主体</w:t>
      </w:r>
    </w:p>
    <w:p>
      <w:pPr>
        <w:ind w:firstLine="645"/>
        <w:rPr>
          <w:rFonts w:ascii="仿宋_GB2312" w:hAnsi="宋体" w:eastAsia="仿宋_GB2312"/>
        </w:rPr>
      </w:pPr>
      <w:r>
        <w:rPr>
          <w:rFonts w:hint="eastAsia" w:ascii="仿宋_GB2312" w:hAnsi="宋体" w:eastAsia="仿宋_GB2312"/>
        </w:rPr>
        <w:t>市、县两级环保部门负责本行政区污染源(包括排污单位和建设项目)日常环境监管随机抽查工作，</w:t>
      </w:r>
      <w:r>
        <w:rPr>
          <w:rFonts w:hint="eastAsia" w:ascii="仿宋_GB2312" w:hAnsi="宋体" w:eastAsia="仿宋_GB2312" w:cs="宋体"/>
        </w:rPr>
        <w:t>组织法规、总量、环评、监察、监测、监控、信息</w:t>
      </w:r>
      <w:r>
        <w:rPr>
          <w:rFonts w:hint="eastAsia" w:ascii="仿宋_GB2312" w:hAnsi="宋体" w:eastAsia="仿宋_GB2312"/>
        </w:rPr>
        <w:t>等内设机构和单位开展随机抽查工作。市、县两级环保部门根据内设机构和单位职能进行职责分工，并确定牵头单位，上述机构和单位根据各自工作职责可联合或独立组织随机抽查。</w:t>
      </w:r>
      <w:r>
        <w:rPr>
          <w:rFonts w:hint="eastAsia" w:ascii="仿宋_GB2312" w:eastAsia="仿宋_GB2312"/>
        </w:rPr>
        <w:t>市级环保部门可组织辖区内县级环保部门共同完成随机抽查工作，也可分别单独进行随机抽查工作。</w:t>
      </w:r>
      <w:r>
        <w:rPr>
          <w:rFonts w:hint="eastAsia" w:ascii="仿宋_GB2312" w:hAnsi="宋体" w:eastAsia="仿宋_GB2312"/>
        </w:rPr>
        <w:t>开展专项执法检查、环境违法案件查处、环境执法后督察、环境信访案件处理等非日常监督检查工作时，不适用本方案。</w:t>
      </w:r>
    </w:p>
    <w:p>
      <w:pPr>
        <w:ind w:firstLine="645"/>
        <w:rPr>
          <w:rFonts w:ascii="楷体_GB2312" w:eastAsia="楷体_GB2312"/>
          <w:b/>
        </w:rPr>
      </w:pPr>
      <w:r>
        <w:rPr>
          <w:rFonts w:hint="eastAsia" w:ascii="楷体_GB2312" w:eastAsia="楷体_GB2312"/>
          <w:b/>
        </w:rPr>
        <w:t>(二)抽查对象</w:t>
      </w:r>
    </w:p>
    <w:p>
      <w:pPr>
        <w:ind w:firstLine="632" w:firstLineChars="200"/>
        <w:rPr>
          <w:rFonts w:ascii="仿宋_GB2312" w:eastAsia="仿宋_GB2312"/>
        </w:rPr>
      </w:pPr>
      <w:r>
        <w:rPr>
          <w:rFonts w:hint="eastAsia" w:ascii="仿宋_GB2312" w:eastAsia="仿宋_GB2312"/>
        </w:rPr>
        <w:t>按照属地管理原则，依照有关法律法规和部门职责划分，市、县两级环保部门要将辖区内污染源作为随机抽查对象。</w:t>
      </w:r>
    </w:p>
    <w:p>
      <w:pPr>
        <w:ind w:firstLine="645"/>
        <w:rPr>
          <w:rFonts w:ascii="楷体_GB2312" w:eastAsia="楷体_GB2312"/>
          <w:b/>
        </w:rPr>
      </w:pPr>
      <w:r>
        <w:rPr>
          <w:rFonts w:hint="eastAsia" w:ascii="楷体_GB2312" w:eastAsia="楷体_GB2312"/>
          <w:b/>
        </w:rPr>
        <w:t>(三)抽查内容</w:t>
      </w:r>
    </w:p>
    <w:p>
      <w:pPr>
        <w:ind w:firstLine="632" w:firstLineChars="200"/>
        <w:rPr>
          <w:rFonts w:ascii="仿宋_GB2312" w:eastAsia="仿宋_GB2312"/>
        </w:rPr>
      </w:pPr>
      <w:r>
        <w:rPr>
          <w:rFonts w:hint="eastAsia" w:ascii="仿宋_GB2312" w:eastAsia="仿宋_GB2312"/>
        </w:rPr>
        <w:t>重点对被抽查单位污染防治设施运行、污染物排放、环评和“三同时”执行情况、排污许可等环境管理制度落实情况进行抽查。</w:t>
      </w:r>
    </w:p>
    <w:p>
      <w:pPr>
        <w:ind w:firstLine="645"/>
        <w:rPr>
          <w:rFonts w:ascii="楷体_GB2312" w:eastAsia="楷体_GB2312"/>
          <w:b/>
        </w:rPr>
      </w:pPr>
      <w:r>
        <w:rPr>
          <w:rFonts w:hint="eastAsia" w:ascii="楷体_GB2312" w:eastAsia="楷体_GB2312"/>
          <w:b/>
        </w:rPr>
        <w:t>(四)抽查方式</w:t>
      </w:r>
    </w:p>
    <w:p>
      <w:pPr>
        <w:ind w:firstLine="645"/>
        <w:rPr>
          <w:rFonts w:ascii="仿宋_GB2312" w:eastAsia="仿宋_GB2312"/>
        </w:rPr>
      </w:pPr>
      <w:r>
        <w:rPr>
          <w:rFonts w:hint="eastAsia" w:ascii="仿宋_GB2312" w:eastAsia="仿宋_GB2312"/>
        </w:rPr>
        <w:t>各级环保部门都要建立污染源日常环境监管动态信息库，结合移动执法系统与上级环保部门联网，实行动态管理。市、县两级环保部门结合重点流域、区域环境污染状况，根据日常环境监管、自动监控、环境信访等其它途径掌握的线索，确定抽查区域，按照抽查比例，采用摇号、抽签等方式确定被抽查排污单位名单。</w:t>
      </w:r>
    </w:p>
    <w:p>
      <w:pPr>
        <w:ind w:firstLine="645"/>
        <w:rPr>
          <w:rFonts w:ascii="仿宋_GB2312" w:eastAsia="仿宋_GB2312"/>
        </w:rPr>
      </w:pPr>
      <w:r>
        <w:rPr>
          <w:rFonts w:hint="eastAsia" w:ascii="仿宋_GB2312" w:eastAsia="仿宋_GB2312"/>
        </w:rPr>
        <w:t>市、县两级环保部门每年</w:t>
      </w:r>
      <w:r>
        <w:rPr>
          <w:rFonts w:ascii="仿宋_GB2312" w:eastAsia="仿宋_GB2312"/>
        </w:rPr>
        <w:t>12</w:t>
      </w:r>
      <w:r>
        <w:rPr>
          <w:rFonts w:hint="eastAsia" w:ascii="仿宋_GB2312" w:eastAsia="仿宋_GB2312"/>
        </w:rPr>
        <w:t>月底前，按照本辖区确定的抽查比例，确定下一年度被抽查单位数量(家次)，纳入本级《环境监察年度工作计划》，报上级环保部门备案。于每季度开始前</w:t>
      </w:r>
      <w:r>
        <w:rPr>
          <w:rFonts w:ascii="仿宋_GB2312" w:eastAsia="仿宋_GB2312"/>
        </w:rPr>
        <w:t>5</w:t>
      </w:r>
      <w:r>
        <w:rPr>
          <w:rFonts w:hint="eastAsia" w:ascii="仿宋_GB2312" w:eastAsia="仿宋_GB2312"/>
        </w:rPr>
        <w:t>日内，采用摇号、抽签等方式确定下季度被抽查排污单位名单。</w:t>
      </w:r>
    </w:p>
    <w:p>
      <w:pPr>
        <w:ind w:firstLine="622" w:firstLineChars="196"/>
        <w:rPr>
          <w:rFonts w:ascii="楷体_GB2312" w:eastAsia="楷体_GB2312"/>
          <w:b/>
        </w:rPr>
      </w:pPr>
      <w:r>
        <w:rPr>
          <w:rFonts w:hint="eastAsia" w:ascii="楷体_GB2312" w:eastAsia="楷体_GB2312"/>
          <w:b/>
        </w:rPr>
        <w:t>(五)抽查比例</w:t>
      </w:r>
    </w:p>
    <w:p>
      <w:pPr>
        <w:ind w:firstLine="634" w:firstLineChars="200"/>
        <w:rPr>
          <w:rFonts w:ascii="仿宋_GB2312" w:eastAsia="仿宋_GB2312"/>
        </w:rPr>
      </w:pPr>
      <w:r>
        <w:rPr>
          <w:rFonts w:ascii="仿宋_GB2312" w:eastAsia="仿宋_GB2312"/>
          <w:b/>
        </w:rPr>
        <w:t>1.</w:t>
      </w:r>
      <w:r>
        <w:rPr>
          <w:rFonts w:hint="eastAsia" w:ascii="仿宋_GB2312" w:eastAsia="仿宋_GB2312"/>
          <w:b/>
        </w:rPr>
        <w:t>重点排污单位：</w:t>
      </w:r>
      <w:r>
        <w:rPr>
          <w:rFonts w:hint="eastAsia" w:ascii="仿宋_GB2312" w:eastAsia="仿宋_GB2312"/>
        </w:rPr>
        <w:t>市级环保部门每季度对本辖区不低于</w:t>
      </w:r>
      <w:r>
        <w:rPr>
          <w:rFonts w:ascii="仿宋_GB2312" w:eastAsia="仿宋_GB2312"/>
        </w:rPr>
        <w:t>5%</w:t>
      </w:r>
      <w:r>
        <w:rPr>
          <w:rFonts w:hint="eastAsia" w:ascii="仿宋_GB2312" w:eastAsia="仿宋_GB2312"/>
        </w:rPr>
        <w:t>的市控及以上重点排污单位进行抽查；县(市、区)环保部门每季度对本辖区不低于</w:t>
      </w:r>
      <w:r>
        <w:rPr>
          <w:rFonts w:ascii="仿宋_GB2312" w:eastAsia="仿宋_GB2312"/>
        </w:rPr>
        <w:t>25%</w:t>
      </w:r>
      <w:r>
        <w:rPr>
          <w:rFonts w:hint="eastAsia" w:ascii="仿宋_GB2312" w:eastAsia="仿宋_GB2312"/>
        </w:rPr>
        <w:t>的县控及以上重点排污单位进行抽查。县控、市控重点排污单位名录分别由县级、市级环保部门根据本行政区环境承载力、重点污染物排放总量控制指标要求和排污单位排放污染物的种类、数量、浓度等因素确定。</w:t>
      </w:r>
    </w:p>
    <w:p>
      <w:pPr>
        <w:ind w:firstLine="634" w:firstLineChars="200"/>
        <w:rPr>
          <w:rFonts w:hint="eastAsia" w:ascii="仿宋_GB2312" w:eastAsia="仿宋_GB2312"/>
        </w:rPr>
      </w:pPr>
      <w:r>
        <w:rPr>
          <w:rFonts w:ascii="仿宋_GB2312" w:eastAsia="仿宋_GB2312"/>
          <w:b/>
        </w:rPr>
        <w:t>2.</w:t>
      </w:r>
      <w:r>
        <w:rPr>
          <w:rFonts w:hint="eastAsia" w:ascii="仿宋_GB2312" w:eastAsia="仿宋_GB2312"/>
          <w:b/>
        </w:rPr>
        <w:t>一般排污单位：</w:t>
      </w:r>
      <w:r>
        <w:rPr>
          <w:rFonts w:hint="eastAsia" w:ascii="仿宋_GB2312" w:eastAsia="仿宋_GB2312"/>
        </w:rPr>
        <w:t>市级环保部门在编在岗的环境监察人员数量与被抽查单位数量的比例，每年不低于</w:t>
      </w:r>
      <w:r>
        <w:rPr>
          <w:rFonts w:ascii="仿宋_GB2312" w:eastAsia="仿宋_GB2312"/>
        </w:rPr>
        <w:t>1</w:t>
      </w:r>
      <w:r>
        <w:rPr>
          <w:rFonts w:hint="eastAsia" w:ascii="仿宋_GB2312" w:eastAsia="仿宋_GB2312"/>
        </w:rPr>
        <w:t>：</w:t>
      </w:r>
      <w:r>
        <w:rPr>
          <w:rFonts w:ascii="仿宋_GB2312" w:eastAsia="仿宋_GB2312"/>
        </w:rPr>
        <w:t>5</w:t>
      </w:r>
      <w:r>
        <w:rPr>
          <w:rFonts w:hint="eastAsia" w:ascii="仿宋_GB2312" w:eastAsia="仿宋_GB2312"/>
        </w:rPr>
        <w:t>；县(市、区)环保部门每年不低于</w:t>
      </w:r>
      <w:r>
        <w:rPr>
          <w:rFonts w:ascii="仿宋_GB2312" w:eastAsia="仿宋_GB2312"/>
        </w:rPr>
        <w:t>1</w:t>
      </w:r>
      <w:r>
        <w:rPr>
          <w:rFonts w:hint="eastAsia" w:ascii="仿宋_GB2312" w:eastAsia="仿宋_GB2312"/>
        </w:rPr>
        <w:t>：</w:t>
      </w:r>
      <w:r>
        <w:rPr>
          <w:rFonts w:ascii="仿宋_GB2312" w:eastAsia="仿宋_GB2312"/>
        </w:rPr>
        <w:t>10</w:t>
      </w:r>
      <w:r>
        <w:rPr>
          <w:rFonts w:hint="eastAsia" w:ascii="仿宋_GB2312" w:eastAsia="仿宋_GB2312"/>
        </w:rPr>
        <w:t>。</w:t>
      </w:r>
    </w:p>
    <w:p>
      <w:pPr>
        <w:ind w:firstLine="634" w:firstLineChars="200"/>
        <w:rPr>
          <w:rFonts w:ascii="仿宋_GB2312" w:eastAsia="仿宋_GB2312"/>
        </w:rPr>
      </w:pPr>
      <w:r>
        <w:rPr>
          <w:rFonts w:ascii="仿宋_GB2312" w:eastAsia="仿宋_GB2312"/>
          <w:b/>
        </w:rPr>
        <w:t>3.</w:t>
      </w:r>
      <w:r>
        <w:rPr>
          <w:rFonts w:hint="eastAsia" w:ascii="仿宋_GB2312" w:eastAsia="仿宋_GB2312"/>
          <w:b/>
        </w:rPr>
        <w:t>其它特殊监管对象：</w:t>
      </w:r>
      <w:r>
        <w:rPr>
          <w:rFonts w:hint="eastAsia" w:ascii="仿宋_GB2312" w:eastAsia="仿宋_GB2312"/>
        </w:rPr>
        <w:t>对存在环境违法和环境管理问题的污染源，应加大抽查比例。</w:t>
      </w:r>
    </w:p>
    <w:p>
      <w:pPr>
        <w:ind w:firstLine="619" w:firstLineChars="196"/>
        <w:rPr>
          <w:rFonts w:ascii="黑体" w:eastAsia="黑体"/>
        </w:rPr>
      </w:pPr>
      <w:r>
        <w:rPr>
          <w:rFonts w:hint="eastAsia" w:ascii="黑体" w:eastAsia="黑体"/>
        </w:rPr>
        <w:t>三、工作制度</w:t>
      </w:r>
    </w:p>
    <w:p>
      <w:pPr>
        <w:ind w:firstLine="622" w:firstLineChars="196"/>
        <w:rPr>
          <w:rFonts w:ascii="楷体_GB2312" w:eastAsia="楷体_GB2312"/>
          <w:b/>
        </w:rPr>
      </w:pPr>
      <w:r>
        <w:rPr>
          <w:rFonts w:hint="eastAsia" w:ascii="楷体_GB2312" w:eastAsia="楷体_GB2312"/>
          <w:b/>
        </w:rPr>
        <w:t>(一)污染源信息管理制度</w:t>
      </w:r>
    </w:p>
    <w:p>
      <w:pPr>
        <w:ind w:firstLine="632" w:firstLineChars="200"/>
        <w:rPr>
          <w:rFonts w:ascii="仿宋_GB2312" w:eastAsia="仿宋_GB2312"/>
        </w:rPr>
      </w:pPr>
      <w:r>
        <w:rPr>
          <w:rFonts w:hint="eastAsia" w:ascii="仿宋_GB2312" w:eastAsia="仿宋_GB2312"/>
        </w:rPr>
        <w:t>市、县两级环保部门要充分利用现有排污申报、污染源普查和环境统计数据，逐步建立完善污染源日常环境监管动态信息库，指定专人负责信息录入、更新、审核。对辖区内污染源进行固定编码，重点污染源建立“一企一档”，逐级进行分类审核。并明确企业组织机构代码，报上一级环保部门备案。</w:t>
      </w:r>
    </w:p>
    <w:p>
      <w:pPr>
        <w:ind w:firstLine="645"/>
        <w:rPr>
          <w:rFonts w:ascii="楷体_GB2312" w:eastAsia="楷体_GB2312"/>
          <w:b/>
        </w:rPr>
      </w:pPr>
      <w:r>
        <w:rPr>
          <w:rFonts w:hint="eastAsia" w:ascii="楷体_GB2312" w:eastAsia="楷体_GB2312"/>
          <w:b/>
        </w:rPr>
        <w:t>(二)全程留痕制度</w:t>
      </w:r>
    </w:p>
    <w:p>
      <w:pPr>
        <w:rPr>
          <w:rFonts w:ascii="仿宋_GB2312" w:hAnsi="宋体" w:eastAsia="仿宋_GB2312" w:cs="宋体"/>
        </w:rPr>
      </w:pPr>
      <w:r>
        <w:rPr>
          <w:rFonts w:ascii="仿宋_GB2312" w:eastAsia="仿宋_GB2312"/>
        </w:rPr>
        <w:t xml:space="preserve">    </w:t>
      </w:r>
      <w:r>
        <w:rPr>
          <w:rFonts w:hint="eastAsia" w:ascii="仿宋_GB2312" w:eastAsia="仿宋_GB2312"/>
        </w:rPr>
        <w:t>各级环保部门开展随机抽查工作时，应优先使用移动执法系统，严格遵守环境执法程序及规范，对列入随机抽查名单中的污染源进行摇号，确定抽查对象，进行现场抽查。参照《山东省污染源现场检查工作指南》(鲁环办〔</w:t>
      </w:r>
      <w:r>
        <w:rPr>
          <w:rFonts w:ascii="仿宋_GB2312" w:eastAsia="仿宋_GB2312"/>
        </w:rPr>
        <w:t>2014</w:t>
      </w:r>
      <w:r>
        <w:rPr>
          <w:rFonts w:hint="eastAsia" w:ascii="仿宋_GB2312" w:eastAsia="仿宋_GB2312"/>
        </w:rPr>
        <w:t>〕</w:t>
      </w:r>
      <w:r>
        <w:rPr>
          <w:rFonts w:ascii="仿宋_GB2312" w:eastAsia="仿宋_GB2312"/>
        </w:rPr>
        <w:t>45</w:t>
      </w:r>
      <w:r>
        <w:rPr>
          <w:rFonts w:hint="eastAsia" w:ascii="仿宋_GB2312" w:eastAsia="仿宋_GB2312"/>
        </w:rPr>
        <w:t>号)，</w:t>
      </w:r>
      <w:r>
        <w:rPr>
          <w:rFonts w:hint="eastAsia" w:ascii="仿宋_GB2312" w:hAnsi="宋体" w:eastAsia="仿宋_GB2312" w:cs="宋体"/>
        </w:rPr>
        <w:t>制作《污染源现场监察记录表》，并根据具体情况，</w:t>
      </w:r>
      <w:r>
        <w:rPr>
          <w:rFonts w:hint="eastAsia" w:ascii="仿宋_GB2312" w:eastAsia="仿宋_GB2312"/>
        </w:rPr>
        <w:t>进行采样监测</w:t>
      </w:r>
      <w:r>
        <w:rPr>
          <w:rFonts w:hint="eastAsia" w:ascii="仿宋_GB2312" w:hAnsi="宋体" w:eastAsia="仿宋_GB2312" w:cs="宋体"/>
        </w:rPr>
        <w:t>。</w:t>
      </w:r>
    </w:p>
    <w:p>
      <w:pPr>
        <w:ind w:firstLine="645"/>
        <w:rPr>
          <w:rFonts w:ascii="楷体_GB2312" w:eastAsia="楷体_GB2312"/>
          <w:b/>
        </w:rPr>
      </w:pPr>
      <w:r>
        <w:rPr>
          <w:rFonts w:hint="eastAsia" w:ascii="楷体_GB2312" w:eastAsia="楷体_GB2312"/>
          <w:b/>
        </w:rPr>
        <w:t>(三)依法查处制度</w:t>
      </w:r>
    </w:p>
    <w:p>
      <w:pPr>
        <w:ind w:firstLine="645"/>
        <w:rPr>
          <w:rFonts w:ascii="仿宋_GB2312" w:eastAsia="仿宋_GB2312"/>
        </w:rPr>
      </w:pPr>
      <w:r>
        <w:rPr>
          <w:rFonts w:hint="eastAsia" w:ascii="仿宋_GB2312" w:eastAsia="仿宋_GB2312"/>
        </w:rPr>
        <w:t>对随机抽查工作中发现的环境违法行为，按照新《环境保护法》规定，由市、县两级环保部门依法从严从重处理处罚，涉嫌环境犯罪的，要及时移交公安机关依法处理。省环保厅将结合监察稽查，随机对处理处罚情况进行动态跟踪，对处理处罚不及时、不到位的环境违法行为，将加强督办，并按有关规定进行处理。</w:t>
      </w:r>
    </w:p>
    <w:p>
      <w:pPr>
        <w:ind w:firstLine="645"/>
        <w:rPr>
          <w:rFonts w:ascii="楷体_GB2312" w:eastAsia="楷体_GB2312"/>
          <w:b/>
        </w:rPr>
      </w:pPr>
      <w:r>
        <w:rPr>
          <w:rFonts w:hint="eastAsia" w:ascii="楷体_GB2312" w:eastAsia="楷体_GB2312"/>
          <w:b/>
        </w:rPr>
        <w:t>(四)廉政保密制度</w:t>
      </w:r>
    </w:p>
    <w:p>
      <w:pPr>
        <w:ind w:firstLine="632" w:firstLineChars="200"/>
        <w:rPr>
          <w:i/>
          <w:iCs/>
        </w:rPr>
      </w:pPr>
      <w:r>
        <w:rPr>
          <w:rFonts w:hint="eastAsia" w:ascii="仿宋_GB2312" w:eastAsia="仿宋_GB2312"/>
        </w:rPr>
        <w:t>环境执法人员开展随机抽查工作，要做好廉政和保密工作，污染源日常环境监管随机抽查名单一经确定，不得随意变更。严格遵守省厅“五项禁令”，不得向被抽查企业通风报信，不得接受被抽查企业的财物和宴请，对查处的问题不掩盖、不袒护、不虚报，坚决杜绝失密泄密、滥用职权、玩忽职守、徇私舞弊等违法违纪行为发生。</w:t>
      </w:r>
    </w:p>
    <w:p>
      <w:pPr>
        <w:ind w:firstLine="645"/>
        <w:rPr>
          <w:rFonts w:ascii="楷体_GB2312" w:eastAsia="楷体_GB2312"/>
          <w:b/>
        </w:rPr>
      </w:pPr>
      <w:r>
        <w:rPr>
          <w:rFonts w:hint="eastAsia" w:ascii="楷体_GB2312" w:eastAsia="楷体_GB2312"/>
          <w:b/>
        </w:rPr>
        <w:t>(五)执法联动制度</w:t>
      </w:r>
    </w:p>
    <w:p>
      <w:pPr>
        <w:ind w:firstLine="645"/>
        <w:rPr>
          <w:rFonts w:ascii="仿宋_GB2312" w:hAnsi="宋体" w:eastAsia="仿宋_GB2312" w:cs="宋体"/>
        </w:rPr>
      </w:pPr>
      <w:r>
        <w:rPr>
          <w:rFonts w:hint="eastAsia" w:ascii="仿宋_GB2312" w:hAnsi="宋体" w:eastAsia="仿宋_GB2312" w:cs="宋体"/>
        </w:rPr>
        <w:t>各级环保部门开展抽查工作时，要组织法规、总量、环评、监察、监测、监控、信息等内设机构和单位进行联动执法，对被随机抽查单位同步开展监察和监测。同时，要加强与公安、新闻媒体等单位的密切合作，开展随机联合抽查。</w:t>
      </w:r>
    </w:p>
    <w:p>
      <w:pPr>
        <w:ind w:firstLine="645"/>
        <w:rPr>
          <w:rFonts w:ascii="楷体_GB2312" w:eastAsia="楷体_GB2312"/>
          <w:b/>
        </w:rPr>
      </w:pPr>
      <w:r>
        <w:rPr>
          <w:rFonts w:hint="eastAsia" w:ascii="楷体_GB2312" w:eastAsia="楷体_GB2312"/>
          <w:b/>
        </w:rPr>
        <w:t>(六)信息公开制度</w:t>
      </w:r>
    </w:p>
    <w:p>
      <w:pPr>
        <w:ind w:firstLine="632" w:firstLineChars="200"/>
        <w:rPr>
          <w:rFonts w:ascii="仿宋_GB2312" w:eastAsia="仿宋_GB2312"/>
        </w:rPr>
      </w:pPr>
      <w:r>
        <w:rPr>
          <w:rFonts w:hint="eastAsia" w:ascii="仿宋_GB2312" w:eastAsia="仿宋_GB2312"/>
        </w:rPr>
        <w:t>市、县两级环保部门按照信息公开要求，指定具有对外宣传职能的机关部门和单位，将随机抽查情况和查处结果及时向社会公开，发布准确、权威的信息，正确引导社会舆论，接受社会监督。</w:t>
      </w:r>
    </w:p>
    <w:p>
      <w:pPr>
        <w:ind w:firstLine="634" w:firstLineChars="200"/>
        <w:rPr>
          <w:rFonts w:ascii="楷体_GB2312" w:eastAsia="楷体_GB2312"/>
          <w:b/>
        </w:rPr>
      </w:pPr>
      <w:r>
        <w:rPr>
          <w:rFonts w:hint="eastAsia" w:ascii="楷体_GB2312" w:eastAsia="楷体_GB2312"/>
          <w:b/>
        </w:rPr>
        <w:t>(七)定期报告制度</w:t>
      </w:r>
    </w:p>
    <w:p>
      <w:pPr>
        <w:ind w:firstLine="632" w:firstLineChars="200"/>
        <w:rPr>
          <w:rFonts w:ascii="仿宋_GB2312" w:eastAsia="仿宋_GB2312"/>
        </w:rPr>
      </w:pPr>
      <w:r>
        <w:rPr>
          <w:rFonts w:hint="eastAsia" w:ascii="仿宋_GB2312" w:eastAsia="仿宋_GB2312"/>
        </w:rPr>
        <w:t>市、县两级环保部门要按照季度、年度对污染源日常环境监管随机抽查工作进行全面汇报和认真总结，安排专人负责填报《污染源日常环境监管随机抽查季度汇总表》、《重点污染源随机抽查记录表》(附件</w:t>
      </w:r>
      <w:r>
        <w:rPr>
          <w:rFonts w:ascii="仿宋_GB2312" w:eastAsia="仿宋_GB2312"/>
        </w:rPr>
        <w:t>3</w:t>
      </w:r>
      <w:r>
        <w:rPr>
          <w:rFonts w:hint="eastAsia" w:ascii="仿宋_GB2312" w:eastAsia="仿宋_GB2312"/>
        </w:rPr>
        <w:t>、</w:t>
      </w:r>
      <w:r>
        <w:rPr>
          <w:rFonts w:ascii="仿宋_GB2312" w:eastAsia="仿宋_GB2312"/>
        </w:rPr>
        <w:t>4</w:t>
      </w:r>
      <w:r>
        <w:rPr>
          <w:rFonts w:hint="eastAsia" w:ascii="仿宋_GB2312" w:eastAsia="仿宋_GB2312"/>
        </w:rPr>
        <w:t>)和撰写年度工作报告。季度工作报表和年度工作总结应于季度、年度结束后次月</w:t>
      </w:r>
      <w:r>
        <w:rPr>
          <w:rFonts w:ascii="仿宋_GB2312" w:eastAsia="仿宋_GB2312"/>
        </w:rPr>
        <w:t>15</w:t>
      </w:r>
      <w:r>
        <w:rPr>
          <w:rFonts w:hint="eastAsia" w:ascii="仿宋_GB2312" w:eastAsia="仿宋_GB2312"/>
        </w:rPr>
        <w:t>日前报送上一级环保部门。</w:t>
      </w:r>
    </w:p>
    <w:p>
      <w:pPr>
        <w:ind w:firstLine="632" w:firstLineChars="200"/>
        <w:rPr>
          <w:rFonts w:ascii="黑体" w:eastAsia="黑体"/>
        </w:rPr>
      </w:pPr>
      <w:r>
        <w:rPr>
          <w:rFonts w:hint="eastAsia" w:ascii="黑体" w:eastAsia="黑体"/>
        </w:rPr>
        <w:t>四、保障措施</w:t>
      </w:r>
    </w:p>
    <w:p>
      <w:pPr>
        <w:ind w:firstLine="632" w:firstLineChars="200"/>
      </w:pPr>
      <w:r>
        <w:rPr>
          <w:rFonts w:hint="eastAsia" w:ascii="仿宋_GB2312" w:eastAsia="仿宋_GB2312"/>
        </w:rPr>
        <w:t>省、市两级环保部门要结合环境监察稽查工作，加强对下级环保部门污染源日常环境监管随机抽查工作落实情况的监督稽查，定期对下级环保部门落实随机抽查工作情况进行通报。</w:t>
      </w:r>
    </w:p>
    <w:p>
      <w:pPr>
        <w:tabs>
          <w:tab w:val="left" w:pos="7426"/>
        </w:tabs>
        <w:rPr>
          <w:rFonts w:hint="eastAsia" w:ascii="仿宋_GB2312" w:hAnsi="宋体" w:eastAsia="仿宋_GB2312"/>
          <w:color w:val="000000"/>
          <w:szCs w:val="18"/>
        </w:rPr>
      </w:pPr>
    </w:p>
    <w:p>
      <w:pPr>
        <w:tabs>
          <w:tab w:val="left" w:pos="7426"/>
        </w:tabs>
        <w:rPr>
          <w:rFonts w:hint="eastAsia" w:ascii="仿宋_GB2312" w:hAnsi="宋体" w:eastAsia="仿宋_GB2312"/>
          <w:color w:val="000000"/>
          <w:szCs w:val="18"/>
        </w:rPr>
      </w:pPr>
    </w:p>
    <w:p>
      <w:pPr>
        <w:tabs>
          <w:tab w:val="left" w:pos="7426"/>
        </w:tabs>
        <w:rPr>
          <w:rFonts w:hint="eastAsia" w:ascii="仿宋_GB2312" w:hAnsi="宋体" w:eastAsia="仿宋_GB2312"/>
          <w:color w:val="000000"/>
          <w:szCs w:val="18"/>
        </w:rPr>
      </w:pPr>
    </w:p>
    <w:p>
      <w:pPr>
        <w:tabs>
          <w:tab w:val="left" w:pos="7426"/>
        </w:tabs>
        <w:rPr>
          <w:rFonts w:hint="eastAsia" w:ascii="仿宋_GB2312" w:hAnsi="宋体" w:eastAsia="仿宋_GB2312"/>
          <w:color w:val="000000"/>
          <w:szCs w:val="18"/>
        </w:rPr>
      </w:pPr>
    </w:p>
    <w:p>
      <w:pPr>
        <w:tabs>
          <w:tab w:val="left" w:pos="7426"/>
        </w:tabs>
        <w:rPr>
          <w:rFonts w:hint="eastAsia" w:ascii="仿宋_GB2312" w:hAnsi="宋体" w:eastAsia="仿宋_GB2312"/>
          <w:color w:val="000000"/>
          <w:szCs w:val="18"/>
        </w:rPr>
      </w:pPr>
    </w:p>
    <w:p>
      <w:pPr>
        <w:tabs>
          <w:tab w:val="left" w:pos="7426"/>
        </w:tabs>
        <w:rPr>
          <w:rFonts w:hint="eastAsia" w:ascii="仿宋_GB2312" w:hAnsi="宋体" w:eastAsia="仿宋_GB2312"/>
          <w:color w:val="000000"/>
          <w:szCs w:val="18"/>
        </w:rPr>
      </w:pPr>
    </w:p>
    <w:p>
      <w:pPr>
        <w:tabs>
          <w:tab w:val="left" w:pos="7426"/>
        </w:tabs>
        <w:rPr>
          <w:rFonts w:hint="eastAsia" w:ascii="仿宋_GB2312" w:hAnsi="宋体" w:eastAsia="仿宋_GB2312"/>
          <w:color w:val="000000"/>
          <w:szCs w:val="18"/>
        </w:rPr>
      </w:pPr>
    </w:p>
    <w:p>
      <w:pPr>
        <w:tabs>
          <w:tab w:val="left" w:pos="7426"/>
        </w:tabs>
        <w:rPr>
          <w:rFonts w:hint="eastAsia" w:ascii="仿宋_GB2312" w:hAnsi="宋体" w:eastAsia="仿宋_GB2312"/>
          <w:color w:val="000000"/>
          <w:szCs w:val="18"/>
        </w:rPr>
      </w:pPr>
    </w:p>
    <w:p>
      <w:pPr>
        <w:tabs>
          <w:tab w:val="left" w:pos="7426"/>
        </w:tabs>
        <w:rPr>
          <w:rFonts w:hint="eastAsia" w:ascii="仿宋_GB2312" w:hAnsi="宋体" w:eastAsia="仿宋_GB2312"/>
          <w:color w:val="000000"/>
          <w:szCs w:val="18"/>
        </w:rPr>
      </w:pPr>
    </w:p>
    <w:p>
      <w:pPr>
        <w:rPr>
          <w:rFonts w:ascii="黑体" w:hAnsi="宋体" w:eastAsia="黑体"/>
          <w:bCs/>
        </w:rPr>
      </w:pPr>
      <w:r>
        <w:rPr>
          <w:rFonts w:hint="eastAsia" w:ascii="黑体" w:hAnsi="宋体" w:eastAsia="黑体"/>
          <w:bCs/>
        </w:rPr>
        <w:t>附件</w:t>
      </w:r>
      <w:r>
        <w:rPr>
          <w:rFonts w:ascii="黑体" w:hAnsi="宋体" w:eastAsia="黑体"/>
          <w:bCs/>
        </w:rPr>
        <w:t>2</w:t>
      </w:r>
    </w:p>
    <w:p>
      <w:pPr>
        <w:spacing w:line="600" w:lineRule="exact"/>
        <w:jc w:val="center"/>
        <w:rPr>
          <w:rFonts w:ascii="方正小标宋_GBK" w:hAnsi="宋体" w:eastAsia="方正小标宋_GBK"/>
          <w:b/>
          <w:bCs/>
          <w:sz w:val="44"/>
          <w:szCs w:val="44"/>
        </w:rPr>
      </w:pPr>
      <w:r>
        <w:rPr>
          <w:rFonts w:hint="eastAsia" w:ascii="方正小标宋_GBK" w:hAnsi="宋体" w:eastAsia="方正小标宋_GBK"/>
          <w:b/>
          <w:bCs/>
          <w:sz w:val="44"/>
          <w:szCs w:val="44"/>
        </w:rPr>
        <w:t>山东省污染源日常环境监管</w:t>
      </w:r>
    </w:p>
    <w:p>
      <w:pPr>
        <w:spacing w:line="600" w:lineRule="exact"/>
        <w:jc w:val="center"/>
        <w:rPr>
          <w:rFonts w:ascii="方正小标宋_GBK" w:hAnsi="宋体" w:eastAsia="方正小标宋_GBK"/>
          <w:b/>
          <w:bCs/>
          <w:sz w:val="44"/>
          <w:szCs w:val="44"/>
        </w:rPr>
      </w:pPr>
      <w:r>
        <w:rPr>
          <w:rFonts w:hint="eastAsia" w:ascii="方正小标宋_GBK" w:hAnsi="宋体" w:eastAsia="方正小标宋_GBK"/>
          <w:b/>
          <w:bCs/>
          <w:sz w:val="44"/>
          <w:szCs w:val="44"/>
        </w:rPr>
        <w:t>动态信息库建设方案</w:t>
      </w:r>
    </w:p>
    <w:p>
      <w:pPr>
        <w:ind w:firstLine="172" w:firstLineChars="98"/>
        <w:rPr>
          <w:rFonts w:ascii="方正小标宋简体" w:hAnsi="宋体" w:eastAsia="方正小标宋简体"/>
          <w:sz w:val="18"/>
          <w:szCs w:val="18"/>
        </w:rPr>
      </w:pPr>
    </w:p>
    <w:p>
      <w:pPr>
        <w:ind w:firstLine="600"/>
        <w:rPr>
          <w:rFonts w:ascii="仿宋_GB2312" w:hAnsi="宋体" w:eastAsia="仿宋_GB2312"/>
        </w:rPr>
      </w:pPr>
      <w:r>
        <w:rPr>
          <w:rFonts w:hint="eastAsia" w:ascii="仿宋_GB2312" w:eastAsia="仿宋_GB2312"/>
        </w:rPr>
        <w:t>为落实环保部办公厅《关于在污染源日常环境监管领域推广随机抽查制度的实施方案》(环办〔</w:t>
      </w:r>
      <w:r>
        <w:rPr>
          <w:rFonts w:ascii="仿宋_GB2312" w:eastAsia="仿宋_GB2312"/>
        </w:rPr>
        <w:t>2015</w:t>
      </w:r>
      <w:r>
        <w:rPr>
          <w:rFonts w:hint="eastAsia" w:ascii="仿宋_GB2312" w:eastAsia="仿宋_GB2312"/>
        </w:rPr>
        <w:t>〕</w:t>
      </w:r>
      <w:r>
        <w:rPr>
          <w:rFonts w:ascii="仿宋_GB2312" w:eastAsia="仿宋_GB2312"/>
        </w:rPr>
        <w:t>88</w:t>
      </w:r>
      <w:r>
        <w:rPr>
          <w:rFonts w:hint="eastAsia" w:ascii="仿宋_GB2312" w:eastAsia="仿宋_GB2312"/>
        </w:rPr>
        <w:t>号)，规范污染源日常环境监管工作，完善污染源数据信息，结合工作实际，</w:t>
      </w:r>
      <w:r>
        <w:rPr>
          <w:rFonts w:hint="eastAsia" w:ascii="仿宋_GB2312" w:eastAsia="仿宋_GB2312"/>
          <w:bCs/>
        </w:rPr>
        <w:t>制定本方案</w:t>
      </w:r>
      <w:r>
        <w:rPr>
          <w:rFonts w:hint="eastAsia" w:ascii="仿宋_GB2312" w:eastAsia="仿宋_GB2312"/>
        </w:rPr>
        <w:t>。</w:t>
      </w:r>
    </w:p>
    <w:p>
      <w:pPr>
        <w:ind w:firstLine="600"/>
        <w:rPr>
          <w:rFonts w:ascii="黑体" w:hAnsi="宋体" w:eastAsia="黑体"/>
        </w:rPr>
      </w:pPr>
      <w:r>
        <w:rPr>
          <w:rFonts w:hint="eastAsia" w:ascii="黑体" w:hAnsi="宋体" w:eastAsia="黑体"/>
        </w:rPr>
        <w:t>一、建设目标</w:t>
      </w:r>
    </w:p>
    <w:p>
      <w:pPr>
        <w:ind w:firstLine="600"/>
        <w:rPr>
          <w:rFonts w:ascii="黑体" w:hAnsi="宋体" w:eastAsia="黑体"/>
          <w:sz w:val="30"/>
          <w:szCs w:val="30"/>
        </w:rPr>
      </w:pPr>
      <w:r>
        <w:rPr>
          <w:rFonts w:hint="eastAsia" w:ascii="仿宋_GB2312" w:eastAsia="仿宋_GB2312"/>
        </w:rPr>
        <w:t>建立省、市、县三级污染源日常环境监管动态信息库，结合移动执法系统，实现全省联网，具备信息录入、更新、编辑、查询、统计、摇号、功能。</w:t>
      </w:r>
    </w:p>
    <w:p>
      <w:pPr>
        <w:ind w:firstLine="600"/>
        <w:rPr>
          <w:rFonts w:ascii="黑体" w:hAnsi="宋体" w:eastAsia="黑体"/>
        </w:rPr>
      </w:pPr>
      <w:r>
        <w:rPr>
          <w:rFonts w:hint="eastAsia" w:ascii="黑体" w:hAnsi="宋体" w:eastAsia="黑体"/>
        </w:rPr>
        <w:t>二、建设思路</w:t>
      </w:r>
    </w:p>
    <w:p>
      <w:pPr>
        <w:ind w:firstLine="616" w:firstLineChars="200"/>
        <w:rPr>
          <w:rFonts w:ascii="仿宋_GB2312" w:eastAsia="仿宋_GB2312"/>
          <w:spacing w:val="-4"/>
        </w:rPr>
      </w:pPr>
      <w:r>
        <w:rPr>
          <w:rFonts w:hint="eastAsia" w:ascii="仿宋_GB2312" w:eastAsia="仿宋_GB2312"/>
          <w:spacing w:val="-4"/>
        </w:rPr>
        <w:t>各级环保部门要充分利用现有排污申报、污染源普查和环境统计数据，逐步建立完善污染源日常监管动态信息库，将其作为随机抽查的基础。动态信息库排污单位要涵盖重点污染源和列入日常环境监管的污染源。动态信息库软件预留与其它环境管理系统的接口，与移动执法系统、企业信息网上直报等之间互通共享和实时更新，数据同步共享，为环境监察提供最新、最准确的企业基础信息。</w:t>
      </w:r>
    </w:p>
    <w:p>
      <w:pPr>
        <w:ind w:firstLine="632" w:firstLineChars="200"/>
        <w:rPr>
          <w:rFonts w:ascii="黑体" w:hAnsi="宋体" w:eastAsia="黑体"/>
        </w:rPr>
      </w:pPr>
      <w:r>
        <w:rPr>
          <w:rFonts w:hint="eastAsia" w:ascii="黑体" w:hAnsi="宋体" w:eastAsia="黑体"/>
        </w:rPr>
        <w:t>三、建设步骤</w:t>
      </w:r>
    </w:p>
    <w:p>
      <w:pPr>
        <w:ind w:firstLine="622" w:firstLineChars="196"/>
        <w:rPr>
          <w:rFonts w:ascii="楷体_GB2312" w:hAnsi="宋体" w:eastAsia="楷体_GB2312"/>
          <w:sz w:val="30"/>
          <w:szCs w:val="30"/>
        </w:rPr>
      </w:pPr>
      <w:r>
        <w:rPr>
          <w:rFonts w:hint="eastAsia" w:ascii="楷体_GB2312" w:hAnsi="仿宋" w:eastAsia="楷体_GB2312"/>
          <w:b/>
        </w:rPr>
        <w:t>(一)信息采集、编码审核阶段</w:t>
      </w:r>
      <w:r>
        <w:rPr>
          <w:rFonts w:hint="eastAsia" w:ascii="楷体_GB2312" w:hAnsi="宋体" w:eastAsia="楷体_GB2312"/>
          <w:b/>
        </w:rPr>
        <w:t>(</w:t>
      </w:r>
      <w:r>
        <w:rPr>
          <w:rFonts w:ascii="楷体_GB2312" w:hAnsi="宋体" w:eastAsia="楷体_GB2312"/>
          <w:b/>
        </w:rPr>
        <w:t>2016</w:t>
      </w:r>
      <w:r>
        <w:rPr>
          <w:rFonts w:hint="eastAsia" w:ascii="楷体_GB2312" w:hAnsi="宋体" w:eastAsia="楷体_GB2312"/>
          <w:b/>
        </w:rPr>
        <w:t>年</w:t>
      </w:r>
      <w:r>
        <w:rPr>
          <w:rFonts w:ascii="楷体_GB2312" w:hAnsi="宋体" w:eastAsia="楷体_GB2312"/>
          <w:b/>
        </w:rPr>
        <w:t>1</w:t>
      </w:r>
      <w:r>
        <w:rPr>
          <w:rFonts w:hint="eastAsia" w:ascii="楷体_GB2312" w:hAnsi="宋体" w:eastAsia="楷体_GB2312"/>
          <w:b/>
        </w:rPr>
        <w:t>月底前)</w:t>
      </w:r>
    </w:p>
    <w:p>
      <w:pPr>
        <w:ind w:firstLine="632" w:firstLineChars="200"/>
        <w:rPr>
          <w:rFonts w:ascii="仿宋_GB2312" w:hAnsi="宋体" w:eastAsia="仿宋_GB2312"/>
        </w:rPr>
      </w:pPr>
      <w:r>
        <w:rPr>
          <w:rFonts w:hint="eastAsia" w:ascii="仿宋_GB2312" w:hAnsi="宋体" w:eastAsia="仿宋_GB2312"/>
        </w:rPr>
        <w:t>各市环保部门组织县(市、区)环保部门按照省环保厅《污染源日常环境监管随机抽查制度落实方案》要求，对辖区内污染源进行摸底排查，建立污染源清单，并进行固定编码。各市环保部门要对排污单位编码进行认真审核。污染源清单内容包括：排污单位编码、企业组织机构代码、所属县(市、区)、企业详细名称。</w:t>
      </w:r>
    </w:p>
    <w:p>
      <w:pPr>
        <w:ind w:firstLine="632" w:firstLineChars="200"/>
        <w:rPr>
          <w:rFonts w:hint="eastAsia" w:ascii="仿宋_GB2312" w:hAnsi="宋体" w:eastAsia="仿宋_GB2312"/>
        </w:rPr>
      </w:pPr>
      <w:r>
        <w:rPr>
          <w:rFonts w:hint="eastAsia" w:ascii="仿宋_GB2312" w:hAnsi="宋体" w:eastAsia="仿宋_GB2312"/>
        </w:rPr>
        <w:t>排污单位编码由环保代码、行政区代码、企业组织机构代码组成，编码格式：环保代码</w:t>
      </w:r>
      <w:r>
        <w:rPr>
          <w:rFonts w:ascii="仿宋_GB2312" w:hAnsi="宋体" w:eastAsia="仿宋_GB2312"/>
        </w:rPr>
        <w:t>+</w:t>
      </w:r>
      <w:r>
        <w:rPr>
          <w:rFonts w:hint="eastAsia" w:ascii="仿宋_GB2312" w:hAnsi="宋体" w:eastAsia="仿宋_GB2312"/>
        </w:rPr>
        <w:t>行政区代码</w:t>
      </w:r>
      <w:r>
        <w:rPr>
          <w:rFonts w:ascii="仿宋_GB2312" w:hAnsi="宋体" w:eastAsia="仿宋_GB2312"/>
        </w:rPr>
        <w:t>—</w:t>
      </w:r>
      <w:r>
        <w:rPr>
          <w:rFonts w:hint="eastAsia" w:ascii="仿宋_GB2312" w:hAnsi="宋体" w:eastAsia="仿宋_GB2312"/>
        </w:rPr>
        <w:t>企业组织机构代码。环保代码分为：重点排污单位“</w:t>
      </w:r>
      <w:r>
        <w:rPr>
          <w:rFonts w:ascii="仿宋_GB2312" w:hAnsi="宋体" w:eastAsia="仿宋_GB2312"/>
        </w:rPr>
        <w:t>1</w:t>
      </w:r>
      <w:r>
        <w:rPr>
          <w:rFonts w:hint="eastAsia" w:ascii="仿宋_GB2312" w:hAnsi="宋体" w:eastAsia="仿宋_GB2312"/>
        </w:rPr>
        <w:t>”，一般排污单位“</w:t>
      </w:r>
      <w:r>
        <w:rPr>
          <w:rFonts w:ascii="仿宋_GB2312" w:hAnsi="宋体" w:eastAsia="仿宋_GB2312"/>
        </w:rPr>
        <w:t>2</w:t>
      </w:r>
      <w:r>
        <w:rPr>
          <w:rFonts w:hint="eastAsia" w:ascii="仿宋_GB2312" w:hAnsi="宋体" w:eastAsia="仿宋_GB2312"/>
        </w:rPr>
        <w:t>”。其中：国控重点污染源(含与省控重复的排污单位)“</w:t>
      </w:r>
      <w:r>
        <w:rPr>
          <w:rFonts w:ascii="仿宋_GB2312" w:hAnsi="宋体" w:eastAsia="仿宋_GB2312"/>
        </w:rPr>
        <w:t>11</w:t>
      </w:r>
      <w:r>
        <w:rPr>
          <w:rFonts w:hint="eastAsia" w:ascii="仿宋_GB2312" w:hAnsi="宋体" w:eastAsia="仿宋_GB2312"/>
        </w:rPr>
        <w:t>”、省控重点污染源“</w:t>
      </w:r>
      <w:r>
        <w:rPr>
          <w:rFonts w:ascii="仿宋_GB2312" w:hAnsi="宋体" w:eastAsia="仿宋_GB2312"/>
        </w:rPr>
        <w:t>12</w:t>
      </w:r>
      <w:r>
        <w:rPr>
          <w:rFonts w:hint="eastAsia" w:ascii="仿宋_GB2312" w:hAnsi="宋体" w:eastAsia="仿宋_GB2312"/>
        </w:rPr>
        <w:t>”、市控重点污染源“</w:t>
      </w:r>
      <w:r>
        <w:rPr>
          <w:rFonts w:ascii="仿宋_GB2312" w:hAnsi="宋体" w:eastAsia="仿宋_GB2312"/>
        </w:rPr>
        <w:t>13</w:t>
      </w:r>
      <w:r>
        <w:rPr>
          <w:rFonts w:hint="eastAsia" w:ascii="仿宋_GB2312" w:hAnsi="宋体" w:eastAsia="仿宋_GB2312"/>
        </w:rPr>
        <w:t>”、县控重点污染源“</w:t>
      </w:r>
      <w:r>
        <w:rPr>
          <w:rFonts w:ascii="仿宋_GB2312" w:hAnsi="宋体" w:eastAsia="仿宋_GB2312"/>
        </w:rPr>
        <w:t>14</w:t>
      </w:r>
      <w:r>
        <w:rPr>
          <w:rFonts w:hint="eastAsia" w:ascii="仿宋_GB2312" w:hAnsi="宋体" w:eastAsia="仿宋_GB2312"/>
        </w:rPr>
        <w:t>”；市一般排污单位(县控重点排污单位除外)“</w:t>
      </w:r>
      <w:r>
        <w:rPr>
          <w:rFonts w:ascii="仿宋_GB2312" w:hAnsi="宋体" w:eastAsia="仿宋_GB2312"/>
        </w:rPr>
        <w:t>23</w:t>
      </w:r>
      <w:r>
        <w:rPr>
          <w:rFonts w:hint="eastAsia" w:ascii="仿宋_GB2312" w:hAnsi="宋体" w:eastAsia="仿宋_GB2312"/>
        </w:rPr>
        <w:t>”、县一般排污单位“</w:t>
      </w:r>
      <w:r>
        <w:rPr>
          <w:rFonts w:ascii="仿宋_GB2312" w:hAnsi="宋体" w:eastAsia="仿宋_GB2312"/>
        </w:rPr>
        <w:t>24</w:t>
      </w:r>
      <w:r>
        <w:rPr>
          <w:rFonts w:hint="eastAsia" w:ascii="仿宋_GB2312" w:hAnsi="宋体" w:eastAsia="仿宋_GB2312"/>
        </w:rPr>
        <w:t>”。对于特殊监管对象，在组织机构代码尾号后加(</w:t>
      </w:r>
      <w:r>
        <w:rPr>
          <w:rFonts w:ascii="仿宋_GB2312" w:hAnsi="宋体" w:eastAsia="仿宋_GB2312"/>
        </w:rPr>
        <w:t>1</w:t>
      </w:r>
      <w:r>
        <w:rPr>
          <w:rFonts w:hint="eastAsia" w:ascii="仿宋_GB2312" w:hAnsi="宋体" w:eastAsia="仿宋_GB2312"/>
        </w:rPr>
        <w:t>)，无组织机构代码的排污单位其编码可自行编号。例如山东省济南市章丘市某企业，行政区代码是</w:t>
      </w:r>
      <w:r>
        <w:rPr>
          <w:rFonts w:ascii="仿宋_GB2312" w:hAnsi="宋体" w:eastAsia="仿宋_GB2312"/>
        </w:rPr>
        <w:t>370181</w:t>
      </w:r>
      <w:r>
        <w:rPr>
          <w:rFonts w:hint="eastAsia" w:ascii="仿宋_GB2312" w:hAnsi="宋体" w:eastAsia="仿宋_GB2312"/>
        </w:rPr>
        <w:t>，组织机构代码是</w:t>
      </w:r>
      <w:r>
        <w:rPr>
          <w:rFonts w:ascii="仿宋_GB2312" w:hAnsi="宋体" w:eastAsia="仿宋_GB2312"/>
        </w:rPr>
        <w:t>12345678-9</w:t>
      </w:r>
      <w:r>
        <w:rPr>
          <w:rFonts w:hint="eastAsia" w:ascii="仿宋_GB2312" w:hAnsi="宋体" w:eastAsia="仿宋_GB2312"/>
        </w:rPr>
        <w:t>，如果该企业是国控重点排污单位，则编码是</w:t>
      </w:r>
      <w:r>
        <w:rPr>
          <w:rFonts w:ascii="仿宋_GB2312" w:hAnsi="宋体" w:eastAsia="仿宋_GB2312"/>
        </w:rPr>
        <w:t>11370181-12345678-9;</w:t>
      </w:r>
      <w:r>
        <w:rPr>
          <w:rFonts w:hint="eastAsia" w:ascii="仿宋_GB2312" w:hAnsi="宋体" w:eastAsia="仿宋_GB2312"/>
        </w:rPr>
        <w:t>如果该企业是市控重点排污单位，则编码是</w:t>
      </w:r>
      <w:r>
        <w:rPr>
          <w:rFonts w:ascii="仿宋_GB2312" w:hAnsi="宋体" w:eastAsia="仿宋_GB2312"/>
        </w:rPr>
        <w:t>13370181-12345678-9;</w:t>
      </w:r>
      <w:r>
        <w:rPr>
          <w:rFonts w:hint="eastAsia" w:ascii="仿宋_GB2312" w:hAnsi="宋体" w:eastAsia="仿宋_GB2312"/>
        </w:rPr>
        <w:t>如果该企业既是国控重点排污单位又是特殊监管对象，则编码是</w:t>
      </w:r>
      <w:r>
        <w:rPr>
          <w:rFonts w:ascii="仿宋_GB2312" w:hAnsi="宋体" w:eastAsia="仿宋_GB2312"/>
        </w:rPr>
        <w:t>11370181-12345678-9</w:t>
      </w:r>
      <w:r>
        <w:rPr>
          <w:rFonts w:hint="eastAsia" w:ascii="仿宋_GB2312" w:hAnsi="宋体" w:eastAsia="仿宋_GB2312"/>
        </w:rPr>
        <w:t>(</w:t>
      </w:r>
      <w:r>
        <w:rPr>
          <w:rFonts w:ascii="仿宋_GB2312" w:hAnsi="宋体" w:eastAsia="仿宋_GB2312"/>
        </w:rPr>
        <w:t>1</w:t>
      </w:r>
      <w:r>
        <w:rPr>
          <w:rFonts w:hint="eastAsia" w:ascii="仿宋_GB2312" w:hAnsi="宋体" w:eastAsia="仿宋_GB2312"/>
        </w:rPr>
        <w:t>)。</w:t>
      </w:r>
    </w:p>
    <w:p>
      <w:pPr>
        <w:ind w:firstLine="634" w:firstLineChars="200"/>
        <w:rPr>
          <w:rFonts w:ascii="楷体_GB2312" w:hAnsi="宋体" w:eastAsia="楷体_GB2312"/>
          <w:b/>
        </w:rPr>
      </w:pPr>
      <w:r>
        <w:rPr>
          <w:rFonts w:hint="eastAsia" w:ascii="楷体_GB2312" w:hAnsi="宋体" w:eastAsia="楷体_GB2312"/>
          <w:b/>
        </w:rPr>
        <w:t>(二)软件开发、信息录入、汇总审核阶段(</w:t>
      </w:r>
      <w:r>
        <w:rPr>
          <w:rFonts w:ascii="楷体_GB2312" w:hAnsi="宋体" w:eastAsia="楷体_GB2312"/>
          <w:b/>
        </w:rPr>
        <w:t>2016</w:t>
      </w:r>
      <w:r>
        <w:rPr>
          <w:rFonts w:hint="eastAsia" w:ascii="楷体_GB2312" w:hAnsi="宋体" w:eastAsia="楷体_GB2312"/>
          <w:b/>
        </w:rPr>
        <w:t>年</w:t>
      </w:r>
      <w:r>
        <w:rPr>
          <w:rFonts w:ascii="楷体_GB2312" w:hAnsi="宋体" w:eastAsia="楷体_GB2312"/>
          <w:b/>
        </w:rPr>
        <w:t>2</w:t>
      </w:r>
      <w:r>
        <w:rPr>
          <w:rFonts w:hint="eastAsia" w:ascii="楷体_GB2312" w:hAnsi="宋体" w:eastAsia="楷体_GB2312"/>
          <w:b/>
        </w:rPr>
        <w:t>月</w:t>
      </w:r>
      <w:r>
        <w:rPr>
          <w:rFonts w:ascii="楷体_GB2312" w:hAnsi="宋体" w:eastAsia="楷体_GB2312"/>
          <w:b/>
        </w:rPr>
        <w:t>—2017</w:t>
      </w:r>
      <w:r>
        <w:rPr>
          <w:rFonts w:hint="eastAsia" w:ascii="楷体_GB2312" w:hAnsi="宋体" w:eastAsia="楷体_GB2312"/>
          <w:b/>
        </w:rPr>
        <w:t>年</w:t>
      </w:r>
      <w:r>
        <w:rPr>
          <w:rFonts w:ascii="楷体_GB2312" w:hAnsi="宋体" w:eastAsia="楷体_GB2312"/>
          <w:b/>
        </w:rPr>
        <w:t>12</w:t>
      </w:r>
      <w:r>
        <w:rPr>
          <w:rFonts w:hint="eastAsia" w:ascii="楷体_GB2312" w:hAnsi="宋体" w:eastAsia="楷体_GB2312"/>
          <w:b/>
        </w:rPr>
        <w:t>月)</w:t>
      </w:r>
    </w:p>
    <w:p>
      <w:pPr>
        <w:ind w:firstLine="632" w:firstLineChars="200"/>
        <w:rPr>
          <w:rFonts w:ascii="仿宋_GB2312" w:hAnsi="宋体" w:eastAsia="仿宋_GB2312"/>
        </w:rPr>
      </w:pPr>
      <w:r>
        <w:rPr>
          <w:rFonts w:hint="eastAsia" w:ascii="仿宋_GB2312" w:hAnsi="宋体" w:eastAsia="仿宋_GB2312"/>
        </w:rPr>
        <w:t>根据摸底调研情况，采集污染源基本信息，确定动态信息库软件建设内容，拟定政府采购计划，通过公开招标，确定软件开发单位，对信息库的建设进行定制、开发和调试。</w:t>
      </w:r>
    </w:p>
    <w:p>
      <w:pPr>
        <w:ind w:firstLine="616" w:firstLineChars="200"/>
        <w:rPr>
          <w:rFonts w:hint="eastAsia" w:ascii="仿宋_GB2312" w:hAnsi="宋体" w:eastAsia="仿宋_GB2312"/>
          <w:spacing w:val="-4"/>
        </w:rPr>
      </w:pPr>
      <w:r>
        <w:rPr>
          <w:rFonts w:hint="eastAsia" w:ascii="仿宋_GB2312" w:hAnsi="宋体" w:eastAsia="仿宋_GB2312"/>
          <w:spacing w:val="-4"/>
        </w:rPr>
        <w:t>在确定好信息库建设的具体内容后，各级环保部门一定严格按照规定的模块和内容上报污染源的相关信息，建库及日常更新工作要达到专人专机，信息库中的信息要做到应填必填、随时更新。</w:t>
      </w:r>
    </w:p>
    <w:p>
      <w:pPr>
        <w:ind w:firstLine="634" w:firstLineChars="200"/>
        <w:rPr>
          <w:rFonts w:ascii="楷体_GB2312" w:hAnsi="宋体" w:eastAsia="楷体_GB2312"/>
          <w:b/>
        </w:rPr>
      </w:pPr>
      <w:r>
        <w:rPr>
          <w:rFonts w:hint="eastAsia" w:ascii="楷体_GB2312" w:hAnsi="宋体" w:eastAsia="楷体_GB2312"/>
          <w:b/>
        </w:rPr>
        <w:t>(三)调试、试用、维护阶段(</w:t>
      </w:r>
      <w:r>
        <w:rPr>
          <w:rFonts w:ascii="楷体_GB2312" w:hAnsi="宋体" w:eastAsia="楷体_GB2312"/>
          <w:b/>
        </w:rPr>
        <w:t>2018</w:t>
      </w:r>
      <w:r>
        <w:rPr>
          <w:rFonts w:hint="eastAsia" w:ascii="楷体_GB2312" w:hAnsi="宋体" w:eastAsia="楷体_GB2312"/>
          <w:b/>
        </w:rPr>
        <w:t>年</w:t>
      </w:r>
      <w:r>
        <w:rPr>
          <w:rFonts w:ascii="楷体_GB2312" w:hAnsi="宋体" w:eastAsia="楷体_GB2312"/>
          <w:b/>
        </w:rPr>
        <w:t>1</w:t>
      </w:r>
      <w:r>
        <w:rPr>
          <w:rFonts w:hint="eastAsia" w:ascii="楷体_GB2312" w:hAnsi="宋体" w:eastAsia="楷体_GB2312"/>
          <w:b/>
        </w:rPr>
        <w:t>月</w:t>
      </w:r>
      <w:r>
        <w:rPr>
          <w:rFonts w:ascii="楷体_GB2312" w:hAnsi="宋体" w:eastAsia="楷体_GB2312"/>
          <w:b/>
        </w:rPr>
        <w:t>—2018</w:t>
      </w:r>
      <w:r>
        <w:rPr>
          <w:rFonts w:hint="eastAsia" w:ascii="楷体_GB2312" w:hAnsi="宋体" w:eastAsia="楷体_GB2312"/>
          <w:b/>
        </w:rPr>
        <w:t>年</w:t>
      </w:r>
      <w:r>
        <w:rPr>
          <w:rFonts w:ascii="楷体_GB2312" w:hAnsi="宋体" w:eastAsia="楷体_GB2312"/>
          <w:b/>
        </w:rPr>
        <w:t>12</w:t>
      </w:r>
      <w:r>
        <w:rPr>
          <w:rFonts w:hint="eastAsia" w:ascii="楷体_GB2312" w:hAnsi="宋体" w:eastAsia="楷体_GB2312"/>
          <w:b/>
        </w:rPr>
        <w:t>月)</w:t>
      </w:r>
    </w:p>
    <w:p>
      <w:pPr>
        <w:ind w:firstLine="632" w:firstLineChars="200"/>
        <w:rPr>
          <w:rFonts w:ascii="仿宋_GB2312" w:hAnsi="宋体" w:eastAsia="仿宋_GB2312"/>
        </w:rPr>
      </w:pPr>
      <w:r>
        <w:rPr>
          <w:rFonts w:hint="eastAsia" w:ascii="仿宋_GB2312" w:hAnsi="宋体" w:eastAsia="仿宋_GB2312"/>
        </w:rPr>
        <w:t>通过动态信息库的调试和试用，结合工作实际，对信息库进行修改、完善，结合移动执法系统进行联网，力求达到各级信息库的动态管理和数据共享。</w:t>
      </w:r>
    </w:p>
    <w:p>
      <w:pPr>
        <w:ind w:left="632"/>
        <w:rPr>
          <w:rFonts w:ascii="黑体" w:hAnsi="宋体" w:eastAsia="黑体"/>
        </w:rPr>
      </w:pPr>
      <w:r>
        <w:rPr>
          <w:rFonts w:hint="eastAsia" w:ascii="黑体" w:hAnsi="宋体" w:eastAsia="黑体"/>
        </w:rPr>
        <w:t>四、保障措施</w:t>
      </w:r>
    </w:p>
    <w:p>
      <w:pPr>
        <w:rPr>
          <w:rFonts w:ascii="楷体_GB2312" w:hAnsi="楷体_GB2312" w:eastAsia="楷体_GB2312" w:cs="楷体_GB2312"/>
          <w:b/>
          <w:bCs/>
        </w:rPr>
      </w:pPr>
      <w:r>
        <w:rPr>
          <w:rFonts w:ascii="楷体_GB2312" w:hAnsi="楷体_GB2312" w:eastAsia="楷体_GB2312" w:cs="楷体_GB2312"/>
          <w:b/>
          <w:bCs/>
        </w:rPr>
        <w:t xml:space="preserve">    </w:t>
      </w:r>
      <w:r>
        <w:rPr>
          <w:rFonts w:hint="eastAsia" w:ascii="楷体_GB2312" w:hAnsi="楷体_GB2312" w:eastAsia="楷体_GB2312" w:cs="楷体_GB2312"/>
          <w:b/>
          <w:bCs/>
        </w:rPr>
        <w:t>(一)创造建库条件</w:t>
      </w:r>
    </w:p>
    <w:p>
      <w:pPr>
        <w:ind w:firstLine="632" w:firstLineChars="200"/>
        <w:rPr>
          <w:rFonts w:ascii="仿宋_GB2312" w:hAnsi="宋体" w:eastAsia="仿宋_GB2312"/>
        </w:rPr>
      </w:pPr>
      <w:r>
        <w:rPr>
          <w:rFonts w:hint="eastAsia" w:ascii="仿宋_GB2312" w:hAnsi="宋体" w:eastAsia="仿宋_GB2312"/>
        </w:rPr>
        <w:t>信息库建设工作量大、时间紧、要求高，各级环保部门要切实增强对动态信息库建设的紧迫性和重要性的认识，将建库工作列入重要议事日程。要从人员和设备等方面予以保障，在建库人员配备和经费保障等方面创造必要条件。在建库过程中，要配备专门的计算机设备，选配业务骨干从事此项工作。</w:t>
      </w:r>
    </w:p>
    <w:p>
      <w:pPr>
        <w:ind w:firstLine="634" w:firstLineChars="200"/>
        <w:rPr>
          <w:rFonts w:ascii="仿宋_GB2312" w:hAnsi="宋体" w:eastAsia="仿宋_GB2312"/>
        </w:rPr>
      </w:pPr>
      <w:r>
        <w:rPr>
          <w:rFonts w:hint="eastAsia" w:ascii="楷体_GB2312" w:hAnsi="楷体_GB2312" w:eastAsia="楷体_GB2312" w:cs="楷体_GB2312"/>
          <w:b/>
          <w:bCs/>
        </w:rPr>
        <w:t>(二)建立相关制度</w:t>
      </w:r>
    </w:p>
    <w:p>
      <w:pPr>
        <w:ind w:firstLine="634" w:firstLineChars="200"/>
      </w:pPr>
      <w:r>
        <w:rPr>
          <w:rFonts w:hint="eastAsia" w:ascii="仿宋_GB2312" w:hAnsi="仿宋_GB2312" w:eastAsia="仿宋_GB2312" w:cs="仿宋_GB2312"/>
          <w:b/>
          <w:bCs/>
        </w:rPr>
        <w:t>一是省厅建立动态信息库建设工作考核制度，</w:t>
      </w:r>
      <w:r>
        <w:rPr>
          <w:rFonts w:hint="eastAsia" w:ascii="仿宋_GB2312" w:hAnsi="宋体" w:eastAsia="仿宋_GB2312"/>
        </w:rPr>
        <w:t>将动态信息库建立工作纳入年度环境监察工作考核范围。</w:t>
      </w:r>
      <w:r>
        <w:rPr>
          <w:rFonts w:hint="eastAsia" w:ascii="仿宋_GB2312" w:hAnsi="仿宋_GB2312" w:eastAsia="仿宋_GB2312" w:cs="仿宋_GB2312"/>
          <w:b/>
          <w:bCs/>
        </w:rPr>
        <w:t>二是建立信息库规范管理制度，</w:t>
      </w:r>
      <w:r>
        <w:rPr>
          <w:rFonts w:hint="eastAsia" w:ascii="仿宋_GB2312" w:hAnsi="宋体" w:eastAsia="仿宋_GB2312"/>
        </w:rPr>
        <w:t>对于各类信息进行分类管理，</w:t>
      </w:r>
      <w:r>
        <w:rPr>
          <w:rFonts w:hint="eastAsia" w:ascii="仿宋_GB2312" w:hAnsi="仿宋_GB2312" w:eastAsia="仿宋_GB2312" w:cs="仿宋_GB2312"/>
        </w:rPr>
        <w:t>重点污染源建立“一企一档”，</w:t>
      </w:r>
      <w:r>
        <w:rPr>
          <w:rFonts w:hint="eastAsia" w:ascii="仿宋_GB2312" w:hAnsi="宋体" w:eastAsia="仿宋_GB2312"/>
        </w:rPr>
        <w:t>逐级进行审核。</w:t>
      </w:r>
      <w:r>
        <w:rPr>
          <w:rFonts w:hint="eastAsia" w:ascii="仿宋_GB2312" w:hAnsi="仿宋_GB2312" w:eastAsia="仿宋_GB2312" w:cs="仿宋_GB2312"/>
          <w:b/>
          <w:bCs/>
        </w:rPr>
        <w:t>三是建立信息库数据保密制度，</w:t>
      </w:r>
      <w:r>
        <w:rPr>
          <w:rFonts w:hint="eastAsia" w:ascii="仿宋_GB2312" w:hAnsi="宋体" w:eastAsia="仿宋_GB2312"/>
        </w:rPr>
        <w:t>严格按照保密工作的有关规定严格管理，防止泄密事件发生。</w:t>
      </w:r>
      <w:r>
        <w:rPr>
          <w:rFonts w:hint="eastAsia" w:ascii="仿宋_GB2312" w:hAnsi="仿宋_GB2312" w:eastAsia="仿宋_GB2312" w:cs="仿宋_GB2312"/>
          <w:b/>
          <w:bCs/>
        </w:rPr>
        <w:t>四是建立信息库定期维护更新制度，</w:t>
      </w:r>
      <w:r>
        <w:rPr>
          <w:rFonts w:hint="eastAsia" w:ascii="仿宋_GB2312" w:hAnsi="宋体" w:eastAsia="仿宋_GB2312"/>
        </w:rPr>
        <w:t>信息库是一个系统工程，对建设的信息库必须做到实时动态更新维护。</w:t>
      </w:r>
    </w:p>
    <w:p>
      <w:pPr>
        <w:tabs>
          <w:tab w:val="left" w:pos="7426"/>
        </w:tabs>
        <w:rPr>
          <w:rFonts w:ascii="仿宋_GB2312" w:hAnsi="宋体" w:eastAsia="仿宋_GB2312"/>
          <w:color w:val="000000"/>
          <w:szCs w:val="18"/>
        </w:rPr>
        <w:sectPr>
          <w:footerReference r:id="rId3" w:type="default"/>
          <w:footerReference r:id="rId4" w:type="even"/>
          <w:pgSz w:w="11906" w:h="16838"/>
          <w:pgMar w:top="1985" w:right="1474" w:bottom="1985" w:left="1588" w:header="851" w:footer="1701" w:gutter="0"/>
          <w:cols w:space="425" w:num="1"/>
          <w:docGrid w:type="linesAndChars" w:linePitch="579" w:charSpace="-849"/>
        </w:sectPr>
      </w:pPr>
    </w:p>
    <w:p>
      <w:pPr>
        <w:rPr>
          <w:rFonts w:hint="eastAsia" w:ascii="黑体" w:eastAsia="黑体"/>
        </w:rPr>
      </w:pPr>
      <w:r>
        <w:rPr>
          <w:rFonts w:hint="eastAsia" w:ascii="黑体" w:eastAsia="黑体"/>
        </w:rPr>
        <w:t>附件3</w:t>
      </w:r>
    </w:p>
    <w:tbl>
      <w:tblPr>
        <w:tblStyle w:val="6"/>
        <w:tblW w:w="14246" w:type="dxa"/>
        <w:tblInd w:w="0" w:type="dxa"/>
        <w:tblLayout w:type="fixed"/>
        <w:tblCellMar>
          <w:top w:w="0" w:type="dxa"/>
          <w:left w:w="108" w:type="dxa"/>
          <w:bottom w:w="0" w:type="dxa"/>
          <w:right w:w="108" w:type="dxa"/>
        </w:tblCellMar>
      </w:tblPr>
      <w:tblGrid>
        <w:gridCol w:w="3062"/>
        <w:gridCol w:w="1064"/>
        <w:gridCol w:w="1234"/>
        <w:gridCol w:w="960"/>
        <w:gridCol w:w="1109"/>
        <w:gridCol w:w="1224"/>
        <w:gridCol w:w="11"/>
        <w:gridCol w:w="963"/>
        <w:gridCol w:w="1086"/>
        <w:gridCol w:w="1235"/>
        <w:gridCol w:w="825"/>
        <w:gridCol w:w="1473"/>
      </w:tblGrid>
      <w:tr>
        <w:tblPrEx>
          <w:tblLayout w:type="fixed"/>
          <w:tblCellMar>
            <w:top w:w="0" w:type="dxa"/>
            <w:left w:w="108" w:type="dxa"/>
            <w:bottom w:w="0" w:type="dxa"/>
            <w:right w:w="108" w:type="dxa"/>
          </w:tblCellMar>
        </w:tblPrEx>
        <w:trPr>
          <w:trHeight w:val="318" w:hRule="atLeast"/>
        </w:trPr>
        <w:tc>
          <w:tcPr>
            <w:tcW w:w="14246" w:type="dxa"/>
            <w:gridSpan w:val="12"/>
            <w:tcBorders>
              <w:top w:val="nil"/>
              <w:left w:val="nil"/>
              <w:bottom w:val="nil"/>
              <w:right w:val="nil"/>
            </w:tcBorders>
            <w:vAlign w:val="bottom"/>
          </w:tcPr>
          <w:p>
            <w:pPr>
              <w:widowControl/>
              <w:jc w:val="center"/>
              <w:rPr>
                <w:rFonts w:hint="eastAsia" w:ascii="方正小标宋简体" w:hAnsi="宋体" w:eastAsia="方正小标宋简体" w:cs="宋体"/>
                <w:b/>
                <w:bCs/>
                <w:kern w:val="0"/>
                <w:sz w:val="44"/>
                <w:szCs w:val="44"/>
              </w:rPr>
            </w:pPr>
            <w:r>
              <w:rPr>
                <w:rFonts w:hint="eastAsia" w:ascii="方正小标宋简体" w:hAnsi="宋体" w:eastAsia="方正小标宋简体" w:cs="宋体"/>
                <w:b/>
                <w:bCs/>
                <w:kern w:val="0"/>
                <w:sz w:val="44"/>
                <w:szCs w:val="44"/>
              </w:rPr>
              <w:t>污染源日常环境监管随机抽查季度汇总表</w:t>
            </w:r>
          </w:p>
          <w:p>
            <w:pPr>
              <w:widowControl/>
              <w:ind w:firstLine="525" w:firstLineChars="250"/>
              <w:jc w:val="left"/>
              <w:rPr>
                <w:rFonts w:hint="eastAsia" w:ascii="黑体" w:hAnsi="宋体" w:eastAsia="黑体" w:cs="宋体"/>
                <w:bCs/>
                <w:kern w:val="0"/>
                <w:sz w:val="21"/>
                <w:szCs w:val="21"/>
              </w:rPr>
            </w:pPr>
            <w:r>
              <w:rPr>
                <w:rFonts w:hint="eastAsia" w:ascii="黑体" w:hAnsi="宋体" w:eastAsia="黑体" w:cs="宋体"/>
                <w:bCs/>
                <w:kern w:val="0"/>
                <w:sz w:val="21"/>
                <w:szCs w:val="21"/>
              </w:rPr>
              <w:t>填报单位：                                                                                         填报日期   年   月   日</w:t>
            </w:r>
          </w:p>
        </w:tc>
      </w:tr>
      <w:tr>
        <w:tblPrEx>
          <w:tblLayout w:type="fixed"/>
          <w:tblCellMar>
            <w:top w:w="0" w:type="dxa"/>
            <w:left w:w="108" w:type="dxa"/>
            <w:bottom w:w="0" w:type="dxa"/>
            <w:right w:w="108" w:type="dxa"/>
          </w:tblCellMar>
        </w:tblPrEx>
        <w:trPr>
          <w:trHeight w:val="382" w:hRule="atLeast"/>
        </w:trPr>
        <w:tc>
          <w:tcPr>
            <w:tcW w:w="3062" w:type="dxa"/>
            <w:vMerge w:val="restart"/>
            <w:tcBorders>
              <w:top w:val="single" w:color="auto" w:sz="4" w:space="0"/>
              <w:left w:val="single" w:color="auto" w:sz="4" w:space="0"/>
              <w:right w:val="single" w:color="auto" w:sz="4" w:space="0"/>
            </w:tcBorders>
            <w:vAlign w:val="center"/>
          </w:tcPr>
          <w:p>
            <w:pPr>
              <w:widowControl/>
              <w:spacing w:line="320" w:lineRule="exact"/>
              <w:ind w:firstLine="632" w:firstLineChars="300"/>
              <w:jc w:val="center"/>
              <w:rPr>
                <w:rFonts w:hint="eastAsia" w:ascii="黑体" w:hAnsi="宋体" w:eastAsia="黑体" w:cs="宋体"/>
                <w:b/>
                <w:kern w:val="0"/>
                <w:sz w:val="21"/>
                <w:szCs w:val="21"/>
              </w:rPr>
            </w:pPr>
            <w:r>
              <w:rPr>
                <w:rFonts w:hint="eastAsia" w:ascii="黑体" w:hAnsi="宋体" w:eastAsia="黑体" w:cs="宋体"/>
                <w:b/>
                <w:kern w:val="0"/>
                <w:sz w:val="21"/>
                <w:szCs w:val="21"/>
              </w:rPr>
              <w:t>环保机构名称</w:t>
            </w:r>
          </w:p>
        </w:tc>
        <w:tc>
          <w:tcPr>
            <w:tcW w:w="3258" w:type="dxa"/>
            <w:gridSpan w:val="3"/>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b/>
                <w:kern w:val="0"/>
                <w:sz w:val="21"/>
                <w:szCs w:val="21"/>
              </w:rPr>
            </w:pPr>
            <w:r>
              <w:rPr>
                <w:rFonts w:hint="eastAsia" w:ascii="黑体" w:hAnsi="宋体" w:eastAsia="黑体" w:cs="宋体"/>
                <w:b/>
                <w:kern w:val="0"/>
                <w:sz w:val="21"/>
                <w:szCs w:val="21"/>
              </w:rPr>
              <w:t>辖区内重点污染源数量</w:t>
            </w:r>
          </w:p>
        </w:tc>
        <w:tc>
          <w:tcPr>
            <w:tcW w:w="3307"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eastAsia" w:ascii="黑体" w:hAnsi="宋体" w:eastAsia="黑体" w:cs="宋体"/>
                <w:b/>
                <w:kern w:val="0"/>
                <w:sz w:val="21"/>
                <w:szCs w:val="21"/>
              </w:rPr>
            </w:pPr>
            <w:r>
              <w:rPr>
                <w:rFonts w:hint="eastAsia" w:ascii="黑体" w:hAnsi="宋体" w:eastAsia="黑体" w:cs="宋体"/>
                <w:b/>
                <w:kern w:val="0"/>
                <w:sz w:val="21"/>
                <w:szCs w:val="21"/>
              </w:rPr>
              <w:t>辖区内一般污染源数量</w:t>
            </w:r>
          </w:p>
        </w:tc>
        <w:tc>
          <w:tcPr>
            <w:tcW w:w="3146"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黑体" w:hAnsi="宋体" w:eastAsia="黑体" w:cs="宋体"/>
                <w:b/>
                <w:kern w:val="0"/>
                <w:sz w:val="21"/>
                <w:szCs w:val="21"/>
              </w:rPr>
            </w:pPr>
            <w:r>
              <w:rPr>
                <w:rFonts w:hint="eastAsia" w:ascii="黑体" w:hAnsi="宋体" w:eastAsia="黑体" w:cs="宋体"/>
                <w:b/>
                <w:kern w:val="0"/>
                <w:sz w:val="21"/>
                <w:szCs w:val="21"/>
              </w:rPr>
              <w:t>辖区内特殊监管对象数量</w:t>
            </w:r>
          </w:p>
        </w:tc>
        <w:tc>
          <w:tcPr>
            <w:tcW w:w="14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备  注</w:t>
            </w:r>
          </w:p>
        </w:tc>
      </w:tr>
      <w:tr>
        <w:tblPrEx>
          <w:tblLayout w:type="fixed"/>
          <w:tblCellMar>
            <w:top w:w="0" w:type="dxa"/>
            <w:left w:w="108" w:type="dxa"/>
            <w:bottom w:w="0" w:type="dxa"/>
            <w:right w:w="108" w:type="dxa"/>
          </w:tblCellMar>
        </w:tblPrEx>
        <w:trPr>
          <w:trHeight w:val="397" w:hRule="atLeast"/>
        </w:trPr>
        <w:tc>
          <w:tcPr>
            <w:tcW w:w="3062"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数量</w:t>
            </w:r>
          </w:p>
        </w:tc>
        <w:tc>
          <w:tcPr>
            <w:tcW w:w="1234"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抽查数量</w:t>
            </w:r>
          </w:p>
          <w:p>
            <w:pPr>
              <w:spacing w:line="32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(家次)</w:t>
            </w:r>
          </w:p>
        </w:tc>
        <w:tc>
          <w:tcPr>
            <w:tcW w:w="960"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抽查</w:t>
            </w:r>
          </w:p>
          <w:p>
            <w:pPr>
              <w:widowControl/>
              <w:spacing w:line="32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比例</w:t>
            </w:r>
          </w:p>
        </w:tc>
        <w:tc>
          <w:tcPr>
            <w:tcW w:w="1109"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数量</w:t>
            </w:r>
          </w:p>
        </w:tc>
        <w:tc>
          <w:tcPr>
            <w:tcW w:w="1235" w:type="dxa"/>
            <w:gridSpan w:val="2"/>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抽查数量(家次)</w:t>
            </w:r>
          </w:p>
        </w:tc>
        <w:tc>
          <w:tcPr>
            <w:tcW w:w="963"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抽查</w:t>
            </w:r>
          </w:p>
          <w:p>
            <w:pPr>
              <w:widowControl/>
              <w:spacing w:line="32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比例</w:t>
            </w:r>
          </w:p>
        </w:tc>
        <w:tc>
          <w:tcPr>
            <w:tcW w:w="1086"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数量</w:t>
            </w:r>
          </w:p>
        </w:tc>
        <w:tc>
          <w:tcPr>
            <w:tcW w:w="1235"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抽查数量</w:t>
            </w:r>
          </w:p>
          <w:p>
            <w:pPr>
              <w:spacing w:line="32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(家次)</w:t>
            </w:r>
          </w:p>
        </w:tc>
        <w:tc>
          <w:tcPr>
            <w:tcW w:w="825"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抽查</w:t>
            </w:r>
          </w:p>
          <w:p>
            <w:pPr>
              <w:spacing w:line="32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比例</w:t>
            </w:r>
          </w:p>
        </w:tc>
        <w:tc>
          <w:tcPr>
            <w:tcW w:w="1473"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r>
      <w:tr>
        <w:tblPrEx>
          <w:tblLayout w:type="fixed"/>
          <w:tblCellMar>
            <w:top w:w="0" w:type="dxa"/>
            <w:left w:w="108" w:type="dxa"/>
            <w:bottom w:w="0" w:type="dxa"/>
            <w:right w:w="108" w:type="dxa"/>
          </w:tblCellMar>
        </w:tblPrEx>
        <w:trPr>
          <w:trHeight w:val="450" w:hRule="atLeast"/>
        </w:trPr>
        <w:tc>
          <w:tcPr>
            <w:tcW w:w="3062"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1234"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960"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1109"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1224"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974" w:type="dxa"/>
            <w:gridSpan w:val="2"/>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1086"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1235"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825"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1473"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r>
      <w:tr>
        <w:tblPrEx>
          <w:tblLayout w:type="fixed"/>
          <w:tblCellMar>
            <w:top w:w="0" w:type="dxa"/>
            <w:left w:w="108" w:type="dxa"/>
            <w:bottom w:w="0" w:type="dxa"/>
            <w:right w:w="108" w:type="dxa"/>
          </w:tblCellMar>
        </w:tblPrEx>
        <w:trPr>
          <w:trHeight w:val="450" w:hRule="atLeast"/>
        </w:trPr>
        <w:tc>
          <w:tcPr>
            <w:tcW w:w="3062"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1234"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960"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1109"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1224"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974" w:type="dxa"/>
            <w:gridSpan w:val="2"/>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1086"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1235"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825"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1473"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r>
      <w:tr>
        <w:tblPrEx>
          <w:tblLayout w:type="fixed"/>
          <w:tblCellMar>
            <w:top w:w="0" w:type="dxa"/>
            <w:left w:w="108" w:type="dxa"/>
            <w:bottom w:w="0" w:type="dxa"/>
            <w:right w:w="108" w:type="dxa"/>
          </w:tblCellMar>
        </w:tblPrEx>
        <w:trPr>
          <w:trHeight w:val="450" w:hRule="atLeast"/>
        </w:trPr>
        <w:tc>
          <w:tcPr>
            <w:tcW w:w="3062"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1234"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960"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1109"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1224"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974" w:type="dxa"/>
            <w:gridSpan w:val="2"/>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1086"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1235"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825"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1473"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r>
      <w:tr>
        <w:tblPrEx>
          <w:tblLayout w:type="fixed"/>
          <w:tblCellMar>
            <w:top w:w="0" w:type="dxa"/>
            <w:left w:w="108" w:type="dxa"/>
            <w:bottom w:w="0" w:type="dxa"/>
            <w:right w:w="108" w:type="dxa"/>
          </w:tblCellMar>
        </w:tblPrEx>
        <w:trPr>
          <w:trHeight w:val="450" w:hRule="atLeast"/>
        </w:trPr>
        <w:tc>
          <w:tcPr>
            <w:tcW w:w="3062"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1234"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960"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1109"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1224"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974" w:type="dxa"/>
            <w:gridSpan w:val="2"/>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1086"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1235"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825"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1473"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r>
      <w:tr>
        <w:tblPrEx>
          <w:tblLayout w:type="fixed"/>
          <w:tblCellMar>
            <w:top w:w="0" w:type="dxa"/>
            <w:left w:w="108" w:type="dxa"/>
            <w:bottom w:w="0" w:type="dxa"/>
            <w:right w:w="108" w:type="dxa"/>
          </w:tblCellMar>
        </w:tblPrEx>
        <w:trPr>
          <w:trHeight w:val="450" w:hRule="atLeast"/>
        </w:trPr>
        <w:tc>
          <w:tcPr>
            <w:tcW w:w="3062"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1234"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960"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1109"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1224"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974" w:type="dxa"/>
            <w:gridSpan w:val="2"/>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1086"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1235"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825"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1473"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r>
      <w:tr>
        <w:tblPrEx>
          <w:tblLayout w:type="fixed"/>
          <w:tblCellMar>
            <w:top w:w="0" w:type="dxa"/>
            <w:left w:w="108" w:type="dxa"/>
            <w:bottom w:w="0" w:type="dxa"/>
            <w:right w:w="108" w:type="dxa"/>
          </w:tblCellMar>
        </w:tblPrEx>
        <w:trPr>
          <w:trHeight w:val="450" w:hRule="atLeast"/>
        </w:trPr>
        <w:tc>
          <w:tcPr>
            <w:tcW w:w="3062"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1234"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960"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1109"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1224"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974" w:type="dxa"/>
            <w:gridSpan w:val="2"/>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1086"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1235"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825"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1473"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r>
      <w:tr>
        <w:tblPrEx>
          <w:tblLayout w:type="fixed"/>
          <w:tblCellMar>
            <w:top w:w="0" w:type="dxa"/>
            <w:left w:w="108" w:type="dxa"/>
            <w:bottom w:w="0" w:type="dxa"/>
            <w:right w:w="108" w:type="dxa"/>
          </w:tblCellMar>
        </w:tblPrEx>
        <w:trPr>
          <w:trHeight w:val="450" w:hRule="atLeast"/>
        </w:trPr>
        <w:tc>
          <w:tcPr>
            <w:tcW w:w="3062"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1234"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960"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1109"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1224"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974" w:type="dxa"/>
            <w:gridSpan w:val="2"/>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1086"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1235"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825"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1473"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r>
      <w:tr>
        <w:tblPrEx>
          <w:tblLayout w:type="fixed"/>
          <w:tblCellMar>
            <w:top w:w="0" w:type="dxa"/>
            <w:left w:w="108" w:type="dxa"/>
            <w:bottom w:w="0" w:type="dxa"/>
            <w:right w:w="108" w:type="dxa"/>
          </w:tblCellMar>
        </w:tblPrEx>
        <w:trPr>
          <w:trHeight w:val="450" w:hRule="atLeast"/>
        </w:trPr>
        <w:tc>
          <w:tcPr>
            <w:tcW w:w="3062"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1234"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960"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1109"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1224"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974" w:type="dxa"/>
            <w:gridSpan w:val="2"/>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1086"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1235"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825"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1473"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r>
    </w:tbl>
    <w:p>
      <w:pPr>
        <w:spacing w:before="289" w:beforeLines="50"/>
        <w:ind w:firstLine="210" w:firstLineChars="100"/>
        <w:rPr>
          <w:rFonts w:hint="eastAsia" w:ascii="黑体" w:eastAsia="黑体"/>
          <w:sz w:val="21"/>
          <w:szCs w:val="21"/>
        </w:rPr>
      </w:pPr>
      <w:r>
        <w:rPr>
          <w:rFonts w:hint="eastAsia" w:ascii="黑体" w:eastAsia="黑体"/>
          <w:sz w:val="21"/>
          <w:szCs w:val="21"/>
        </w:rPr>
        <w:t>负责人(签字)：                                  审核人(签字)：                               填表人(签字)：</w:t>
      </w:r>
    </w:p>
    <w:p>
      <w:pPr>
        <w:rPr>
          <w:rFonts w:hint="eastAsia" w:ascii="黑体" w:eastAsia="黑体"/>
        </w:rPr>
      </w:pPr>
      <w:r>
        <w:rPr>
          <w:rFonts w:hint="eastAsia" w:ascii="黑体" w:eastAsia="黑体"/>
        </w:rPr>
        <w:t>附件4</w:t>
      </w:r>
    </w:p>
    <w:tbl>
      <w:tblPr>
        <w:tblStyle w:val="6"/>
        <w:tblW w:w="14709" w:type="dxa"/>
        <w:jc w:val="center"/>
        <w:tblInd w:w="0" w:type="dxa"/>
        <w:tblLayout w:type="fixed"/>
        <w:tblCellMar>
          <w:top w:w="0" w:type="dxa"/>
          <w:left w:w="108" w:type="dxa"/>
          <w:bottom w:w="0" w:type="dxa"/>
          <w:right w:w="108" w:type="dxa"/>
        </w:tblCellMar>
      </w:tblPr>
      <w:tblGrid>
        <w:gridCol w:w="726"/>
        <w:gridCol w:w="1136"/>
        <w:gridCol w:w="2132"/>
        <w:gridCol w:w="995"/>
        <w:gridCol w:w="568"/>
        <w:gridCol w:w="426"/>
        <w:gridCol w:w="568"/>
        <w:gridCol w:w="569"/>
        <w:gridCol w:w="568"/>
        <w:gridCol w:w="569"/>
        <w:gridCol w:w="994"/>
        <w:gridCol w:w="994"/>
        <w:gridCol w:w="852"/>
        <w:gridCol w:w="1278"/>
        <w:gridCol w:w="1137"/>
        <w:gridCol w:w="1197"/>
      </w:tblGrid>
      <w:tr>
        <w:tblPrEx>
          <w:tblLayout w:type="fixed"/>
          <w:tblCellMar>
            <w:top w:w="0" w:type="dxa"/>
            <w:left w:w="108" w:type="dxa"/>
            <w:bottom w:w="0" w:type="dxa"/>
            <w:right w:w="108" w:type="dxa"/>
          </w:tblCellMar>
        </w:tblPrEx>
        <w:trPr>
          <w:trHeight w:val="336" w:hRule="atLeast"/>
          <w:jc w:val="center"/>
        </w:trPr>
        <w:tc>
          <w:tcPr>
            <w:tcW w:w="14709" w:type="dxa"/>
            <w:gridSpan w:val="16"/>
            <w:tcBorders>
              <w:top w:val="nil"/>
              <w:left w:val="nil"/>
              <w:bottom w:val="nil"/>
              <w:right w:val="nil"/>
            </w:tcBorders>
            <w:vAlign w:val="bottom"/>
          </w:tcPr>
          <w:p>
            <w:pPr>
              <w:widowControl/>
              <w:jc w:val="center"/>
              <w:rPr>
                <w:rFonts w:hint="eastAsia" w:ascii="方正小标宋简体" w:hAnsi="宋体" w:eastAsia="方正小标宋简体" w:cs="宋体"/>
                <w:bCs/>
                <w:kern w:val="0"/>
                <w:sz w:val="44"/>
                <w:szCs w:val="44"/>
              </w:rPr>
            </w:pPr>
            <w:r>
              <w:rPr>
                <w:rFonts w:hint="eastAsia" w:ascii="方正小标宋简体" w:hAnsi="宋体" w:eastAsia="方正小标宋简体" w:cs="宋体"/>
                <w:b/>
                <w:bCs/>
                <w:kern w:val="0"/>
                <w:sz w:val="44"/>
                <w:szCs w:val="44"/>
              </w:rPr>
              <w:t>重点污染源随机抽查记录表</w:t>
            </w:r>
          </w:p>
          <w:p>
            <w:pPr>
              <w:widowControl/>
              <w:ind w:firstLine="525" w:firstLineChars="250"/>
              <w:jc w:val="left"/>
              <w:rPr>
                <w:rFonts w:hint="eastAsia" w:ascii="黑体" w:hAnsi="宋体" w:eastAsia="黑体" w:cs="宋体"/>
                <w:bCs/>
                <w:kern w:val="0"/>
                <w:sz w:val="21"/>
                <w:szCs w:val="21"/>
              </w:rPr>
            </w:pPr>
            <w:r>
              <w:rPr>
                <w:rFonts w:hint="eastAsia" w:ascii="黑体" w:hAnsi="宋体" w:eastAsia="黑体" w:cs="宋体"/>
                <w:bCs/>
                <w:kern w:val="0"/>
                <w:sz w:val="21"/>
                <w:szCs w:val="21"/>
              </w:rPr>
              <w:t>填报单位：                                                                                         填报日期   年   月   日</w:t>
            </w:r>
          </w:p>
        </w:tc>
      </w:tr>
      <w:tr>
        <w:tblPrEx>
          <w:tblLayout w:type="fixed"/>
          <w:tblCellMar>
            <w:top w:w="0" w:type="dxa"/>
            <w:left w:w="108" w:type="dxa"/>
            <w:bottom w:w="0" w:type="dxa"/>
            <w:right w:w="108" w:type="dxa"/>
          </w:tblCellMar>
        </w:tblPrEx>
        <w:trPr>
          <w:trHeight w:val="736" w:hRule="atLeast"/>
          <w:jc w:val="center"/>
        </w:trPr>
        <w:tc>
          <w:tcPr>
            <w:tcW w:w="726"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序号</w:t>
            </w:r>
          </w:p>
        </w:tc>
        <w:tc>
          <w:tcPr>
            <w:tcW w:w="1136"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企业</w:t>
            </w:r>
          </w:p>
          <w:p>
            <w:pPr>
              <w:widowControl/>
              <w:spacing w:line="32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固定编码</w:t>
            </w:r>
          </w:p>
        </w:tc>
        <w:tc>
          <w:tcPr>
            <w:tcW w:w="2132"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企业名称</w:t>
            </w:r>
          </w:p>
        </w:tc>
        <w:tc>
          <w:tcPr>
            <w:tcW w:w="995" w:type="dxa"/>
            <w:vMerge w:val="restart"/>
            <w:tcBorders>
              <w:top w:val="single" w:color="auto" w:sz="4" w:space="0"/>
              <w:left w:val="nil"/>
              <w:right w:val="single" w:color="auto" w:sz="4" w:space="0"/>
            </w:tcBorders>
            <w:vAlign w:val="center"/>
          </w:tcPr>
          <w:p>
            <w:pPr>
              <w:widowControl/>
              <w:spacing w:line="32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所在县(市、区)</w:t>
            </w:r>
          </w:p>
        </w:tc>
        <w:tc>
          <w:tcPr>
            <w:tcW w:w="994"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生产</w:t>
            </w:r>
          </w:p>
          <w:p>
            <w:pPr>
              <w:widowControl/>
              <w:spacing w:line="32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状态</w:t>
            </w:r>
          </w:p>
        </w:tc>
        <w:tc>
          <w:tcPr>
            <w:tcW w:w="1137"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污染治理设施建设情况</w:t>
            </w:r>
          </w:p>
        </w:tc>
        <w:tc>
          <w:tcPr>
            <w:tcW w:w="1137"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污染治理设施运行情况</w:t>
            </w:r>
          </w:p>
        </w:tc>
        <w:tc>
          <w:tcPr>
            <w:tcW w:w="994" w:type="dxa"/>
            <w:vMerge w:val="restart"/>
            <w:tcBorders>
              <w:top w:val="single" w:color="auto" w:sz="4" w:space="0"/>
              <w:left w:val="nil"/>
              <w:right w:val="single" w:color="auto" w:sz="4" w:space="0"/>
            </w:tcBorders>
            <w:vAlign w:val="center"/>
          </w:tcPr>
          <w:p>
            <w:pPr>
              <w:widowControl/>
              <w:spacing w:line="32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排污口规范化整治情况</w:t>
            </w:r>
          </w:p>
        </w:tc>
        <w:tc>
          <w:tcPr>
            <w:tcW w:w="994" w:type="dxa"/>
            <w:vMerge w:val="restart"/>
            <w:tcBorders>
              <w:top w:val="single" w:color="auto" w:sz="4" w:space="0"/>
              <w:left w:val="nil"/>
              <w:right w:val="single" w:color="auto" w:sz="4" w:space="0"/>
            </w:tcBorders>
            <w:vAlign w:val="center"/>
          </w:tcPr>
          <w:p>
            <w:pPr>
              <w:spacing w:line="32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污染物排放达标情况</w:t>
            </w:r>
          </w:p>
        </w:tc>
        <w:tc>
          <w:tcPr>
            <w:tcW w:w="852" w:type="dxa"/>
            <w:vMerge w:val="restart"/>
            <w:tcBorders>
              <w:top w:val="single" w:color="auto" w:sz="4" w:space="0"/>
              <w:left w:val="nil"/>
              <w:right w:val="single" w:color="auto" w:sz="4" w:space="0"/>
            </w:tcBorders>
            <w:vAlign w:val="center"/>
          </w:tcPr>
          <w:p>
            <w:pPr>
              <w:spacing w:line="32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检查</w:t>
            </w:r>
          </w:p>
          <w:p>
            <w:pPr>
              <w:spacing w:line="32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时间</w:t>
            </w:r>
          </w:p>
        </w:tc>
        <w:tc>
          <w:tcPr>
            <w:tcW w:w="1278" w:type="dxa"/>
            <w:vMerge w:val="restart"/>
            <w:tcBorders>
              <w:top w:val="single" w:color="auto" w:sz="4" w:space="0"/>
              <w:left w:val="nil"/>
              <w:right w:val="single" w:color="auto" w:sz="4" w:space="0"/>
            </w:tcBorders>
            <w:vAlign w:val="center"/>
          </w:tcPr>
          <w:p>
            <w:pPr>
              <w:spacing w:line="32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抽查发现的问题</w:t>
            </w:r>
          </w:p>
        </w:tc>
        <w:tc>
          <w:tcPr>
            <w:tcW w:w="1137" w:type="dxa"/>
            <w:vMerge w:val="restart"/>
            <w:tcBorders>
              <w:top w:val="single" w:color="auto" w:sz="4" w:space="0"/>
              <w:left w:val="nil"/>
              <w:right w:val="single" w:color="auto" w:sz="4" w:space="0"/>
            </w:tcBorders>
            <w:vAlign w:val="center"/>
          </w:tcPr>
          <w:p>
            <w:pPr>
              <w:spacing w:line="32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处理处罚情况</w:t>
            </w:r>
          </w:p>
        </w:tc>
        <w:tc>
          <w:tcPr>
            <w:tcW w:w="1197" w:type="dxa"/>
            <w:vMerge w:val="restart"/>
            <w:tcBorders>
              <w:top w:val="single" w:color="auto" w:sz="4" w:space="0"/>
              <w:left w:val="nil"/>
              <w:right w:val="single" w:color="auto" w:sz="4" w:space="0"/>
            </w:tcBorders>
            <w:vAlign w:val="center"/>
          </w:tcPr>
          <w:p>
            <w:pPr>
              <w:widowControl/>
              <w:spacing w:line="32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备  注</w:t>
            </w:r>
          </w:p>
        </w:tc>
      </w:tr>
      <w:tr>
        <w:tblPrEx>
          <w:tblLayout w:type="fixed"/>
          <w:tblCellMar>
            <w:top w:w="0" w:type="dxa"/>
            <w:left w:w="108" w:type="dxa"/>
            <w:bottom w:w="0" w:type="dxa"/>
            <w:right w:w="108" w:type="dxa"/>
          </w:tblCellMar>
        </w:tblPrEx>
        <w:trPr>
          <w:trHeight w:val="407" w:hRule="atLeast"/>
          <w:jc w:val="center"/>
        </w:trPr>
        <w:tc>
          <w:tcPr>
            <w:tcW w:w="726"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1136" w:type="dxa"/>
            <w:vMerge w:val="continue"/>
            <w:tcBorders>
              <w:left w:val="single" w:color="auto" w:sz="4" w:space="0"/>
              <w:bottom w:val="single" w:color="auto" w:sz="4" w:space="0"/>
              <w:right w:val="single" w:color="auto" w:sz="4" w:space="0"/>
            </w:tcBorders>
            <w:vAlign w:val="center"/>
          </w:tcPr>
          <w:p>
            <w:pPr>
              <w:widowControl/>
              <w:spacing w:line="320" w:lineRule="exact"/>
              <w:ind w:firstLine="210" w:firstLineChars="100"/>
              <w:jc w:val="center"/>
              <w:rPr>
                <w:rFonts w:hint="eastAsia" w:ascii="黑体" w:hAnsi="宋体" w:eastAsia="黑体" w:cs="宋体"/>
                <w:kern w:val="0"/>
                <w:sz w:val="21"/>
                <w:szCs w:val="21"/>
              </w:rPr>
            </w:pPr>
          </w:p>
        </w:tc>
        <w:tc>
          <w:tcPr>
            <w:tcW w:w="2132" w:type="dxa"/>
            <w:vMerge w:val="continue"/>
            <w:tcBorders>
              <w:left w:val="single" w:color="auto" w:sz="4" w:space="0"/>
              <w:bottom w:val="single" w:color="auto" w:sz="4" w:space="0"/>
              <w:right w:val="single" w:color="auto" w:sz="4" w:space="0"/>
            </w:tcBorders>
            <w:vAlign w:val="center"/>
          </w:tcPr>
          <w:p>
            <w:pPr>
              <w:widowControl/>
              <w:spacing w:line="320" w:lineRule="exact"/>
              <w:ind w:firstLine="525" w:firstLineChars="250"/>
              <w:jc w:val="center"/>
              <w:rPr>
                <w:rFonts w:hint="eastAsia" w:ascii="黑体" w:hAnsi="宋体" w:eastAsia="黑体" w:cs="宋体"/>
                <w:kern w:val="0"/>
                <w:sz w:val="21"/>
                <w:szCs w:val="21"/>
              </w:rPr>
            </w:pPr>
          </w:p>
        </w:tc>
        <w:tc>
          <w:tcPr>
            <w:tcW w:w="995" w:type="dxa"/>
            <w:vMerge w:val="continue"/>
            <w:tcBorders>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56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正常</w:t>
            </w:r>
          </w:p>
        </w:tc>
        <w:tc>
          <w:tcPr>
            <w:tcW w:w="426"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停产</w:t>
            </w:r>
          </w:p>
        </w:tc>
        <w:tc>
          <w:tcPr>
            <w:tcW w:w="56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已建</w:t>
            </w:r>
          </w:p>
        </w:tc>
        <w:tc>
          <w:tcPr>
            <w:tcW w:w="56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未建</w:t>
            </w:r>
          </w:p>
        </w:tc>
        <w:tc>
          <w:tcPr>
            <w:tcW w:w="56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正常</w:t>
            </w:r>
          </w:p>
        </w:tc>
        <w:tc>
          <w:tcPr>
            <w:tcW w:w="56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异常</w:t>
            </w:r>
          </w:p>
        </w:tc>
        <w:tc>
          <w:tcPr>
            <w:tcW w:w="994" w:type="dxa"/>
            <w:vMerge w:val="continue"/>
            <w:tcBorders>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994" w:type="dxa"/>
            <w:vMerge w:val="continue"/>
            <w:tcBorders>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852" w:type="dxa"/>
            <w:vMerge w:val="continue"/>
            <w:tcBorders>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1278" w:type="dxa"/>
            <w:vMerge w:val="continue"/>
            <w:tcBorders>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1137" w:type="dxa"/>
            <w:vMerge w:val="continue"/>
            <w:tcBorders>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1197" w:type="dxa"/>
            <w:vMerge w:val="continue"/>
            <w:tcBorders>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r>
      <w:tr>
        <w:tblPrEx>
          <w:tblLayout w:type="fixed"/>
          <w:tblCellMar>
            <w:top w:w="0" w:type="dxa"/>
            <w:left w:w="108" w:type="dxa"/>
            <w:bottom w:w="0" w:type="dxa"/>
            <w:right w:w="108" w:type="dxa"/>
          </w:tblCellMar>
        </w:tblPrEx>
        <w:trPr>
          <w:trHeight w:val="39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213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995"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568"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426"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568"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569"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568"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569"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994"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994"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852"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1278"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1137"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1197"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r>
      <w:tr>
        <w:tblPrEx>
          <w:tblLayout w:type="fixed"/>
          <w:tblCellMar>
            <w:top w:w="0" w:type="dxa"/>
            <w:left w:w="108" w:type="dxa"/>
            <w:bottom w:w="0" w:type="dxa"/>
            <w:right w:w="108" w:type="dxa"/>
          </w:tblCellMar>
        </w:tblPrEx>
        <w:trPr>
          <w:trHeight w:val="390" w:hRule="atLeast"/>
          <w:jc w:val="center"/>
        </w:trPr>
        <w:tc>
          <w:tcPr>
            <w:tcW w:w="726"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1136"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2132"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995"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568"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426"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568"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569"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568"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569"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994"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994"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852"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1278"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1137"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1197"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r>
      <w:tr>
        <w:tblPrEx>
          <w:tblLayout w:type="fixed"/>
          <w:tblCellMar>
            <w:top w:w="0" w:type="dxa"/>
            <w:left w:w="108" w:type="dxa"/>
            <w:bottom w:w="0" w:type="dxa"/>
            <w:right w:w="108" w:type="dxa"/>
          </w:tblCellMar>
        </w:tblPrEx>
        <w:trPr>
          <w:trHeight w:val="390" w:hRule="atLeast"/>
          <w:jc w:val="center"/>
        </w:trPr>
        <w:tc>
          <w:tcPr>
            <w:tcW w:w="726"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1136"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2132"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995"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568"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426"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568"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569"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568"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569"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994"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994"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852"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1278"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1137"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1197"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r>
      <w:tr>
        <w:tblPrEx>
          <w:tblLayout w:type="fixed"/>
          <w:tblCellMar>
            <w:top w:w="0" w:type="dxa"/>
            <w:left w:w="108" w:type="dxa"/>
            <w:bottom w:w="0" w:type="dxa"/>
            <w:right w:w="108" w:type="dxa"/>
          </w:tblCellMar>
        </w:tblPrEx>
        <w:trPr>
          <w:trHeight w:val="390" w:hRule="atLeast"/>
          <w:jc w:val="center"/>
        </w:trPr>
        <w:tc>
          <w:tcPr>
            <w:tcW w:w="726"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1136"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2132"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995"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568"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426"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568"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569"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568"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569"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994"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994"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852"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1278"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1137"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1197"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r>
      <w:tr>
        <w:tblPrEx>
          <w:tblLayout w:type="fixed"/>
          <w:tblCellMar>
            <w:top w:w="0" w:type="dxa"/>
            <w:left w:w="108" w:type="dxa"/>
            <w:bottom w:w="0" w:type="dxa"/>
            <w:right w:w="108" w:type="dxa"/>
          </w:tblCellMar>
        </w:tblPrEx>
        <w:trPr>
          <w:trHeight w:val="390" w:hRule="atLeast"/>
          <w:jc w:val="center"/>
        </w:trPr>
        <w:tc>
          <w:tcPr>
            <w:tcW w:w="726"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1136"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2132"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995"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568"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426"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568"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569"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568"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569"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994"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994"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852"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1278"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1137"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1197"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r>
      <w:tr>
        <w:tblPrEx>
          <w:tblLayout w:type="fixed"/>
          <w:tblCellMar>
            <w:top w:w="0" w:type="dxa"/>
            <w:left w:w="108" w:type="dxa"/>
            <w:bottom w:w="0" w:type="dxa"/>
            <w:right w:w="108" w:type="dxa"/>
          </w:tblCellMar>
        </w:tblPrEx>
        <w:trPr>
          <w:trHeight w:val="390" w:hRule="atLeast"/>
          <w:jc w:val="center"/>
        </w:trPr>
        <w:tc>
          <w:tcPr>
            <w:tcW w:w="726"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1136"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2132"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995"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568"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426"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568"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569"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568"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569"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994"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994"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852"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1278"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1137"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1197"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r>
      <w:tr>
        <w:tblPrEx>
          <w:tblLayout w:type="fixed"/>
          <w:tblCellMar>
            <w:top w:w="0" w:type="dxa"/>
            <w:left w:w="108" w:type="dxa"/>
            <w:bottom w:w="0" w:type="dxa"/>
            <w:right w:w="108" w:type="dxa"/>
          </w:tblCellMar>
        </w:tblPrEx>
        <w:trPr>
          <w:trHeight w:val="390" w:hRule="atLeast"/>
          <w:jc w:val="center"/>
        </w:trPr>
        <w:tc>
          <w:tcPr>
            <w:tcW w:w="726"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1136"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2132"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995"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568"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426"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568"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569"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568"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569"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994"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994"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852"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1278"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1137"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1197"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r>
      <w:tr>
        <w:tblPrEx>
          <w:tblLayout w:type="fixed"/>
          <w:tblCellMar>
            <w:top w:w="0" w:type="dxa"/>
            <w:left w:w="108" w:type="dxa"/>
            <w:bottom w:w="0" w:type="dxa"/>
            <w:right w:w="108" w:type="dxa"/>
          </w:tblCellMar>
        </w:tblPrEx>
        <w:trPr>
          <w:trHeight w:val="390" w:hRule="atLeast"/>
          <w:jc w:val="center"/>
        </w:trPr>
        <w:tc>
          <w:tcPr>
            <w:tcW w:w="726"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1136"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2132"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995"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568"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426"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568"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569"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568"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569"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994"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c>
          <w:tcPr>
            <w:tcW w:w="994"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852"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1278"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1137" w:type="dxa"/>
            <w:tcBorders>
              <w:top w:val="nil"/>
              <w:left w:val="nil"/>
              <w:bottom w:val="single" w:color="auto" w:sz="4" w:space="0"/>
              <w:right w:val="single" w:color="auto" w:sz="4" w:space="0"/>
            </w:tcBorders>
            <w:vAlign w:val="center"/>
          </w:tcPr>
          <w:p>
            <w:pPr>
              <w:spacing w:line="320" w:lineRule="exact"/>
              <w:jc w:val="center"/>
              <w:rPr>
                <w:rFonts w:hint="eastAsia" w:ascii="黑体" w:hAnsi="宋体" w:eastAsia="黑体" w:cs="宋体"/>
                <w:kern w:val="0"/>
                <w:sz w:val="21"/>
                <w:szCs w:val="21"/>
              </w:rPr>
            </w:pPr>
          </w:p>
        </w:tc>
        <w:tc>
          <w:tcPr>
            <w:tcW w:w="1197" w:type="dxa"/>
            <w:tcBorders>
              <w:top w:val="nil"/>
              <w:left w:val="nil"/>
              <w:bottom w:val="single" w:color="auto" w:sz="4" w:space="0"/>
              <w:right w:val="single" w:color="auto" w:sz="4" w:space="0"/>
            </w:tcBorders>
            <w:vAlign w:val="center"/>
          </w:tcPr>
          <w:p>
            <w:pPr>
              <w:widowControl/>
              <w:spacing w:line="320" w:lineRule="exact"/>
              <w:jc w:val="center"/>
              <w:rPr>
                <w:rFonts w:hint="eastAsia" w:ascii="黑体" w:hAnsi="宋体" w:eastAsia="黑体" w:cs="宋体"/>
                <w:kern w:val="0"/>
                <w:sz w:val="21"/>
                <w:szCs w:val="21"/>
              </w:rPr>
            </w:pPr>
          </w:p>
        </w:tc>
      </w:tr>
    </w:tbl>
    <w:p>
      <w:pPr>
        <w:spacing w:before="289" w:beforeLines="50"/>
        <w:ind w:firstLine="210" w:firstLineChars="100"/>
        <w:rPr>
          <w:rFonts w:hint="eastAsia" w:ascii="黑体" w:eastAsia="黑体"/>
          <w:sz w:val="21"/>
          <w:szCs w:val="21"/>
        </w:rPr>
      </w:pPr>
      <w:r>
        <w:rPr>
          <w:rFonts w:hint="eastAsia" w:ascii="黑体" w:eastAsia="黑体"/>
          <w:sz w:val="21"/>
          <w:szCs w:val="21"/>
        </w:rPr>
        <w:t>负责人(签字)：                                  审核人(签字)：                                填表人(签字)：</w:t>
      </w:r>
    </w:p>
    <w:p>
      <w:pPr>
        <w:tabs>
          <w:tab w:val="left" w:pos="7426"/>
        </w:tabs>
        <w:spacing w:line="540" w:lineRule="exact"/>
        <w:rPr>
          <w:rFonts w:ascii="仿宋_GB2312" w:hAnsi="宋体" w:eastAsia="仿宋_GB2312"/>
          <w:color w:val="000000"/>
          <w:szCs w:val="18"/>
        </w:rPr>
        <w:sectPr>
          <w:footerReference r:id="rId5" w:type="default"/>
          <w:pgSz w:w="16838" w:h="11906" w:orient="landscape"/>
          <w:pgMar w:top="1985" w:right="1418" w:bottom="1985" w:left="1418" w:header="851" w:footer="1701" w:gutter="0"/>
          <w:cols w:space="425" w:num="1"/>
          <w:docGrid w:type="lines" w:linePitch="579" w:charSpace="-849"/>
        </w:sectPr>
      </w:pP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script"/>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outside" w:y="1"/>
      <w:rPr>
        <w:rStyle w:val="5"/>
        <w:rFonts w:hint="eastAsia" w:ascii="仿宋_GB2312" w:eastAsia="仿宋_GB2312"/>
        <w:sz w:val="28"/>
        <w:szCs w:val="28"/>
      </w:rPr>
    </w:pPr>
    <w:r>
      <w:rPr>
        <w:rStyle w:val="5"/>
        <w:rFonts w:hint="eastAsia" w:ascii="仿宋_GB2312" w:eastAsia="仿宋_GB2312"/>
        <w:sz w:val="28"/>
        <w:szCs w:val="28"/>
      </w:rPr>
      <w:t>—</w:t>
    </w:r>
    <w:r>
      <w:rPr>
        <w:rStyle w:val="5"/>
        <w:rFonts w:hint="eastAsia" w:ascii="仿宋_GB2312" w:eastAsia="仿宋_GB2312"/>
        <w:sz w:val="28"/>
        <w:szCs w:val="28"/>
      </w:rPr>
      <w:fldChar w:fldCharType="begin"/>
    </w:r>
    <w:r>
      <w:rPr>
        <w:rStyle w:val="5"/>
        <w:rFonts w:hint="eastAsia" w:ascii="仿宋_GB2312" w:eastAsia="仿宋_GB2312"/>
        <w:sz w:val="28"/>
        <w:szCs w:val="28"/>
      </w:rPr>
      <w:instrText xml:space="preserve">PAGE  </w:instrText>
    </w:r>
    <w:r>
      <w:rPr>
        <w:rStyle w:val="5"/>
        <w:rFonts w:hint="eastAsia" w:ascii="仿宋_GB2312" w:eastAsia="仿宋_GB2312"/>
        <w:sz w:val="28"/>
        <w:szCs w:val="28"/>
      </w:rPr>
      <w:fldChar w:fldCharType="separate"/>
    </w:r>
    <w:r>
      <w:rPr>
        <w:rStyle w:val="5"/>
        <w:rFonts w:ascii="仿宋_GB2312" w:eastAsia="仿宋_GB2312"/>
        <w:sz w:val="28"/>
        <w:szCs w:val="28"/>
        <w:lang w:val="zh-CN" w:eastAsia="zh-CN"/>
      </w:rPr>
      <w:t>2</w:t>
    </w:r>
    <w:r>
      <w:rPr>
        <w:rStyle w:val="5"/>
        <w:rFonts w:hint="eastAsia" w:ascii="仿宋_GB2312" w:eastAsia="仿宋_GB2312"/>
        <w:sz w:val="28"/>
        <w:szCs w:val="28"/>
      </w:rPr>
      <w:fldChar w:fldCharType="end"/>
    </w:r>
    <w:r>
      <w:rPr>
        <w:rStyle w:val="5"/>
        <w:rFonts w:hint="eastAsia" w:ascii="仿宋_GB2312" w:eastAsia="仿宋_GB2312"/>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center" w:y="1"/>
      <w:rPr>
        <w:rStyle w:val="5"/>
        <w:rFonts w:hint="eastAsia" w:ascii="仿宋_GB2312" w:eastAsia="仿宋_GB2312"/>
        <w:sz w:val="28"/>
        <w:szCs w:val="28"/>
      </w:rPr>
    </w:pPr>
    <w:r>
      <w:rPr>
        <w:rStyle w:val="5"/>
        <w:rFonts w:hint="eastAsia" w:ascii="仿宋_GB2312" w:eastAsia="仿宋_GB2312"/>
        <w:sz w:val="28"/>
        <w:szCs w:val="28"/>
      </w:rPr>
      <w:t>—</w:t>
    </w:r>
    <w:r>
      <w:rPr>
        <w:rStyle w:val="5"/>
        <w:rFonts w:hint="eastAsia" w:ascii="仿宋_GB2312" w:eastAsia="仿宋_GB2312"/>
        <w:sz w:val="28"/>
        <w:szCs w:val="28"/>
      </w:rPr>
      <w:fldChar w:fldCharType="begin"/>
    </w:r>
    <w:r>
      <w:rPr>
        <w:rStyle w:val="5"/>
        <w:rFonts w:hint="eastAsia" w:ascii="仿宋_GB2312" w:eastAsia="仿宋_GB2312"/>
        <w:sz w:val="28"/>
        <w:szCs w:val="28"/>
      </w:rPr>
      <w:instrText xml:space="preserve">PAGE  </w:instrText>
    </w:r>
    <w:r>
      <w:rPr>
        <w:rStyle w:val="5"/>
        <w:rFonts w:hint="eastAsia" w:ascii="仿宋_GB2312" w:eastAsia="仿宋_GB2312"/>
        <w:sz w:val="28"/>
        <w:szCs w:val="28"/>
      </w:rPr>
      <w:fldChar w:fldCharType="separate"/>
    </w:r>
    <w:r>
      <w:rPr>
        <w:rStyle w:val="5"/>
        <w:rFonts w:ascii="仿宋_GB2312" w:eastAsia="仿宋_GB2312"/>
        <w:sz w:val="28"/>
        <w:szCs w:val="28"/>
        <w:lang w:val="zh-CN" w:eastAsia="zh-CN"/>
      </w:rPr>
      <w:t>13</w:t>
    </w:r>
    <w:r>
      <w:rPr>
        <w:rStyle w:val="5"/>
        <w:rFonts w:hint="eastAsia" w:ascii="仿宋_GB2312" w:eastAsia="仿宋_GB2312"/>
        <w:sz w:val="28"/>
        <w:szCs w:val="28"/>
      </w:rPr>
      <w:fldChar w:fldCharType="end"/>
    </w:r>
    <w:r>
      <w:rPr>
        <w:rStyle w:val="5"/>
        <w:rFonts w:hint="eastAsia" w:ascii="仿宋_GB2312" w:eastAsia="仿宋_GB2312"/>
        <w:sz w:val="28"/>
        <w:szCs w:val="28"/>
      </w:rPr>
      <w:t>—</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0069C0"/>
    <w:rsid w:val="760069C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2"/>
      <w:szCs w:val="32"/>
      <w:lang w:val="en-US" w:eastAsia="zh-CN" w:bidi="ar-SA"/>
    </w:rPr>
  </w:style>
  <w:style w:type="character" w:default="1" w:styleId="3">
    <w:name w:val="Default Paragraph Font"/>
    <w:link w:val="4"/>
    <w:semiHidden/>
    <w:uiPriority w:val="0"/>
    <w:rPr>
      <w:sz w:val="21"/>
      <w:szCs w:val="24"/>
    </w:rPr>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4">
    <w:name w:val="默认段落字体 Para Char Char Char Char Char Char Char"/>
    <w:basedOn w:val="1"/>
    <w:link w:val="3"/>
    <w:uiPriority w:val="0"/>
    <w:rPr>
      <w:sz w:val="21"/>
      <w:szCs w:val="24"/>
    </w:rPr>
  </w:style>
  <w:style w:type="character" w:styleId="5">
    <w:name w:val="page number"/>
    <w:basedOn w:val="3"/>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2015-12-31T08:00:00Z</dcterms:created>
  <dc:creator>Administrator</dc:creator>
  <cp:lastModifiedBy>Administrator</cp:lastModifiedBy>
  <dcterms:modified xsi:type="dcterms:W3CDTF">2015-12-31T08:00:10Z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