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55" w:rsidRPr="00F50555" w:rsidRDefault="00F50555" w:rsidP="00F50555">
      <w:pPr>
        <w:widowControl/>
        <w:shd w:val="clear" w:color="auto" w:fill="FFFFFF"/>
        <w:spacing w:line="555" w:lineRule="atLeast"/>
        <w:jc w:val="center"/>
        <w:rPr>
          <w:rFonts w:ascii="微软雅黑" w:eastAsia="微软雅黑" w:hAnsi="微软雅黑" w:cs="宋体"/>
          <w:color w:val="3E3E3E"/>
          <w:kern w:val="0"/>
          <w:sz w:val="24"/>
          <w:szCs w:val="24"/>
        </w:rPr>
      </w:pPr>
      <w:r w:rsidRPr="00F50555">
        <w:rPr>
          <w:rFonts w:ascii="华文中宋" w:eastAsia="华文中宋" w:hAnsi="华文中宋" w:cs="宋体" w:hint="eastAsia"/>
          <w:color w:val="3E3E3E"/>
          <w:kern w:val="0"/>
          <w:sz w:val="44"/>
          <w:szCs w:val="44"/>
        </w:rPr>
        <w:t>化工（危险化学品）企业安全检查重点指导目录</w:t>
      </w:r>
    </w:p>
    <w:tbl>
      <w:tblPr>
        <w:tblW w:w="5000" w:type="pct"/>
        <w:shd w:val="clear" w:color="auto" w:fill="FFFFFF"/>
        <w:tblCellMar>
          <w:left w:w="0" w:type="dxa"/>
          <w:right w:w="0" w:type="dxa"/>
        </w:tblCellMar>
        <w:tblLook w:val="04A0"/>
      </w:tblPr>
      <w:tblGrid>
        <w:gridCol w:w="543"/>
        <w:gridCol w:w="1356"/>
        <w:gridCol w:w="810"/>
        <w:gridCol w:w="5807"/>
      </w:tblGrid>
      <w:tr w:rsidR="00F50555" w:rsidRPr="00F50555" w:rsidTr="00F50555">
        <w:trPr>
          <w:trHeight w:val="510"/>
        </w:trPr>
        <w:tc>
          <w:tcPr>
            <w:tcW w:w="3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黑体" w:eastAsia="黑体" w:hAnsi="黑体" w:cs="宋体" w:hint="eastAsia"/>
                <w:b/>
                <w:bCs/>
                <w:color w:val="3E3E3E"/>
                <w:kern w:val="0"/>
                <w:sz w:val="24"/>
                <w:szCs w:val="24"/>
              </w:rPr>
              <w:t>序号</w:t>
            </w:r>
          </w:p>
        </w:tc>
        <w:tc>
          <w:tcPr>
            <w:tcW w:w="798"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黑体" w:eastAsia="黑体" w:hAnsi="黑体" w:cs="宋体" w:hint="eastAsia"/>
                <w:b/>
                <w:bCs/>
                <w:color w:val="3E3E3E"/>
                <w:kern w:val="0"/>
                <w:sz w:val="24"/>
                <w:szCs w:val="24"/>
              </w:rPr>
              <w:t>检查重点内容</w:t>
            </w:r>
          </w:p>
        </w:tc>
        <w:tc>
          <w:tcPr>
            <w:tcW w:w="470"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黑体" w:eastAsia="黑体" w:hAnsi="黑体" w:cs="宋体" w:hint="eastAsia"/>
                <w:b/>
                <w:bCs/>
                <w:color w:val="3E3E3E"/>
                <w:kern w:val="0"/>
                <w:sz w:val="24"/>
                <w:szCs w:val="24"/>
              </w:rPr>
              <w:t>违反条文</w:t>
            </w:r>
          </w:p>
        </w:tc>
        <w:tc>
          <w:tcPr>
            <w:tcW w:w="3411" w:type="pc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黑体" w:eastAsia="黑体" w:hAnsi="黑体" w:cs="宋体" w:hint="eastAsia"/>
                <w:b/>
                <w:bCs/>
                <w:color w:val="3E3E3E"/>
                <w:kern w:val="0"/>
                <w:sz w:val="24"/>
                <w:szCs w:val="24"/>
              </w:rPr>
              <w:t>处罚依据</w:t>
            </w:r>
          </w:p>
        </w:tc>
      </w:tr>
      <w:tr w:rsidR="00F50555" w:rsidRPr="00F50555" w:rsidTr="00F50555">
        <w:trPr>
          <w:trHeight w:val="510"/>
        </w:trPr>
        <w:tc>
          <w:tcPr>
            <w:tcW w:w="5000" w:type="pct"/>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楷体_GB2312" w:eastAsia="楷体_GB2312" w:hAnsi="微软雅黑" w:cs="宋体" w:hint="eastAsia"/>
                <w:b/>
                <w:bCs/>
                <w:color w:val="3E3E3E"/>
                <w:kern w:val="0"/>
                <w:sz w:val="24"/>
                <w:szCs w:val="24"/>
              </w:rPr>
              <w:t>人员和资质管理</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1</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企业安全生产行政许可手续不齐全或不在有效期内的。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《危险化学品安全管理条例》第十四条、第二十九条、第三十三条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7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《危险化学品安全管理条例》</w:t>
            </w:r>
            <w:r w:rsidRPr="00F50555">
              <w:rPr>
                <w:rFonts w:ascii="仿宋_GB2312" w:eastAsia="仿宋_GB2312" w:hAnsi="微软雅黑" w:cs="宋体" w:hint="eastAsia"/>
                <w:color w:val="3E3E3E"/>
                <w:kern w:val="0"/>
                <w:sz w:val="24"/>
                <w:szCs w:val="24"/>
              </w:rPr>
              <w:t>第七十七条：未依法取得危险化学品安全生产许可证从事危险化学品生产的，依照《安全生产许可证条例》的规定处罚。</w:t>
            </w:r>
          </w:p>
          <w:p w:rsidR="00F50555" w:rsidRPr="00F50555" w:rsidRDefault="00F50555" w:rsidP="00F50555">
            <w:pPr>
              <w:widowControl/>
              <w:wordWrap w:val="0"/>
              <w:spacing w:line="270" w:lineRule="atLeast"/>
              <w:ind w:firstLine="420"/>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违反本条例规定，化工企业未取得危险化学品安全使用许可证，使用危险化学品从事生产的，由安全生产监督管理部门责令限期改正，处10万元以上20万元以下的罚款；逾期不改正的，责令停产整顿。</w:t>
            </w:r>
          </w:p>
          <w:p w:rsidR="00F50555" w:rsidRPr="00F50555" w:rsidRDefault="00F50555" w:rsidP="00F50555">
            <w:pPr>
              <w:widowControl/>
              <w:wordWrap w:val="0"/>
              <w:spacing w:line="270" w:lineRule="atLeast"/>
              <w:ind w:firstLine="420"/>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rsidR="00F50555" w:rsidRPr="00F50555" w:rsidRDefault="00F50555" w:rsidP="00F50555">
            <w:pPr>
              <w:widowControl/>
              <w:wordWrap w:val="0"/>
              <w:spacing w:line="27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《安全生产许可证条例》</w:t>
            </w:r>
            <w:r w:rsidRPr="00F50555">
              <w:rPr>
                <w:rFonts w:ascii="仿宋_GB2312" w:eastAsia="仿宋_GB2312" w:hAnsi="微软雅黑" w:cs="宋体" w:hint="eastAsia"/>
                <w:color w:val="3E3E3E"/>
                <w:kern w:val="0"/>
                <w:sz w:val="24"/>
                <w:szCs w:val="24"/>
              </w:rPr>
              <w:t>第十九条：违反本条例规定，未取得安全生产许可证擅自进行生产的，责令停止生产，没收违法所得，并处10万元以上50万元以下的罚款；造成重大事故或者其他严重后果，构成犯罪的，依法追究刑事责任。</w:t>
            </w:r>
          </w:p>
          <w:p w:rsidR="00F50555" w:rsidRPr="00F50555" w:rsidRDefault="00F50555" w:rsidP="00F50555">
            <w:pPr>
              <w:widowControl/>
              <w:wordWrap w:val="0"/>
              <w:spacing w:line="270" w:lineRule="atLeast"/>
              <w:ind w:firstLine="420"/>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2</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企业未依法明确主要负责人、分管负责人安全生产职责或主要负责人、分管负责人未依法履行其安全生产职责的。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《安全生产法》第十九条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1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第九十一条：生产经营单位的主要负责人未履行本法规定的安全生产管理职责的，责令限期改正；逾期未改正的，处二万元以上五万元以下的罚款，责令生产经营单位停产停业整顿。</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3</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企业未设置安全生产管理机构或配备专职安全生产管理人员的。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《安全生产法》第二十一条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1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F50555" w:rsidRPr="00F50555" w:rsidRDefault="00F50555" w:rsidP="00F50555">
            <w:pPr>
              <w:widowControl/>
              <w:wordWrap w:val="0"/>
              <w:spacing w:line="31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（一）未按照规定设置安全生产管理机构或者配备安全生产管理人员的。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4</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企业的主要负责人、安全负责人及其他安全生产管理人员未按照规定经考核合格的。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《安全生产法》第二十四条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1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F50555" w:rsidRPr="00F50555" w:rsidRDefault="00F50555" w:rsidP="00F50555">
            <w:pPr>
              <w:widowControl/>
              <w:wordWrap w:val="0"/>
              <w:spacing w:line="31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（二）危险物品的生产、经营、储存单位以及矿山、金属冶炼、建筑施工、道路运输单位的主要负责人和安全生产管理人员未按照规定经考核合格的。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5</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企业未对从业人员进行安全生产教育培训或者安排未经安全生产教育和培训合格的从业人员上岗作业的。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《安全生产法》第二十五条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1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F50555" w:rsidRPr="00F50555" w:rsidRDefault="00F50555" w:rsidP="00F50555">
            <w:pPr>
              <w:widowControl/>
              <w:wordWrap w:val="0"/>
              <w:spacing w:line="31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（三）未按照规定对从业人员、被派遣劳动者、实习学生进行安全生产教育和培训，或者未按照规定如实告知有关的安全生产事项的。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6</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从业人员对本岗位涉及的危险化学品危险特性不熟悉的。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《安全生产法》第二十五条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（三）未按照规定对从业人员、被派遣劳动者、实习学生进行安全生产教育和培训，或者未按照规定如实告知有关的安全生产事项的。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7</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特种作业人员未按照国家有关规定经专门的安全作业培训并取得相应资格</w:t>
            </w:r>
            <w:r w:rsidRPr="00F50555">
              <w:rPr>
                <w:rFonts w:ascii="仿宋_GB2312" w:eastAsia="仿宋_GB2312" w:hAnsi="微软雅黑" w:cs="宋体" w:hint="eastAsia"/>
                <w:color w:val="3E3E3E"/>
                <w:kern w:val="0"/>
                <w:sz w:val="24"/>
                <w:szCs w:val="24"/>
              </w:rPr>
              <w:lastRenderedPageBreak/>
              <w:t>上岗作业的。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《安全生产法》第二十七条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（七）特种作业人员未按照规定经专门的安全作业培训并取得相应资格，上岗作业的。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8</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选用不符合资质的承包商或未对承包商的安全生产工作统一协调、管理的。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《安全生产法》第四十六条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F50555" w:rsidRPr="00F50555" w:rsidRDefault="00F50555" w:rsidP="00F50555">
            <w:pPr>
              <w:widowControl/>
              <w:wordWrap w:val="0"/>
              <w:spacing w:line="285" w:lineRule="atLeast"/>
              <w:ind w:firstLine="420"/>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9</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将火种带入易燃易爆场所或存在脱岗、睡岗、酒后上岗行为的。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《安全生产法》第五十四条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第一百零四条：生产经营单位的从业人员不服从管理，违反安全生产规章制度或者操作规程的，由生产经营单位给予批评教育，依照有关规章制度给予处分；构成犯罪的，依照刑法有关规定追究刑事责任。</w:t>
            </w:r>
          </w:p>
        </w:tc>
      </w:tr>
      <w:tr w:rsidR="00F50555" w:rsidRPr="00F50555" w:rsidTr="00F50555">
        <w:trPr>
          <w:trHeight w:val="510"/>
        </w:trPr>
        <w:tc>
          <w:tcPr>
            <w:tcW w:w="5000" w:type="pct"/>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楷体_GB2312" w:eastAsia="楷体_GB2312" w:hAnsi="微软雅黑" w:cs="宋体" w:hint="eastAsia"/>
                <w:b/>
                <w:bCs/>
                <w:color w:val="3E3E3E"/>
                <w:kern w:val="0"/>
                <w:sz w:val="24"/>
                <w:szCs w:val="24"/>
              </w:rPr>
              <w:t>工艺管理</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10</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在役化工装置未经正规设计且未进行安全设计诊断的。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《安全生产法》第三十八条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1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11</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新开发的危险化学品生产工艺未经逐级放大试验到工业</w:t>
            </w:r>
            <w:r w:rsidRPr="00F50555">
              <w:rPr>
                <w:rFonts w:ascii="仿宋_GB2312" w:eastAsia="仿宋_GB2312" w:hAnsi="微软雅黑" w:cs="宋体" w:hint="eastAsia"/>
                <w:color w:val="3E3E3E"/>
                <w:kern w:val="0"/>
                <w:sz w:val="24"/>
                <w:szCs w:val="24"/>
              </w:rPr>
              <w:lastRenderedPageBreak/>
              <w:t>化生产或首次使用的化工工艺未经省级人民政府有关部门组织安全可靠性论证的。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《危险化学品生产企业安全</w:t>
            </w:r>
            <w:r w:rsidRPr="00F50555">
              <w:rPr>
                <w:rFonts w:ascii="仿宋_GB2312" w:eastAsia="仿宋_GB2312" w:hAnsi="微软雅黑" w:cs="宋体" w:hint="eastAsia"/>
                <w:color w:val="3E3E3E"/>
                <w:kern w:val="0"/>
                <w:sz w:val="24"/>
                <w:szCs w:val="24"/>
              </w:rPr>
              <w:lastRenderedPageBreak/>
              <w:t>生产许可证实施办法》（国家安全监管总局令第41号）</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1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lastRenderedPageBreak/>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12</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未按规定制定操作规程和工艺控制指标的。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《安全生产法》第十八条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1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第九十一条：生产经营单位的主要负责人未履行本法规定的安全生产管理职责的，责令限期改正；逾期未改正的，处二万元以上五万元以下的罚款，责令生产经营单位停产停业整顿。</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13</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生产、储存装置及设施超温、超压、超液位运行的。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《安全生产法》第三十八条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14</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在厂房、围堤、窨井等场所内设置有毒有害气体排放口且未采取有效防范措施的。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《安全生产法》第三十八条、</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《工业企业设计卫生标准》（GBZ1）第6.1.5.1条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15</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涉及液化烃、液氨、液氯、硫化氢等易燃易爆及有</w:t>
            </w:r>
            <w:r w:rsidRPr="00F50555">
              <w:rPr>
                <w:rFonts w:ascii="仿宋_GB2312" w:eastAsia="仿宋_GB2312" w:hAnsi="微软雅黑" w:cs="宋体" w:hint="eastAsia"/>
                <w:color w:val="3E3E3E"/>
                <w:kern w:val="0"/>
                <w:sz w:val="24"/>
                <w:szCs w:val="24"/>
              </w:rPr>
              <w:lastRenderedPageBreak/>
              <w:t>毒介质的安全阀及其他泄放设施直排大气的（环氧乙烷的排放应采取安全措施）。</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《安全生产法》第三十三</w:t>
            </w:r>
            <w:r w:rsidRPr="00F50555">
              <w:rPr>
                <w:rFonts w:ascii="仿宋_GB2312" w:eastAsia="仿宋_GB2312" w:hAnsi="微软雅黑" w:cs="宋体" w:hint="eastAsia"/>
                <w:color w:val="3E3E3E"/>
                <w:kern w:val="0"/>
                <w:sz w:val="24"/>
                <w:szCs w:val="24"/>
              </w:rPr>
              <w:lastRenderedPageBreak/>
              <w:t>条、《固定式压力容器安全技术监察规程》（TSG R0004-2009）第8.2（3）条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lastRenderedPageBreak/>
              <w:t>《安全生产法》</w:t>
            </w:r>
            <w:r w:rsidRPr="00F50555">
              <w:rPr>
                <w:rFonts w:ascii="仿宋_GB2312" w:eastAsia="仿宋_GB2312" w:hAnsi="微软雅黑" w:cs="宋体" w:hint="eastAsia"/>
                <w:color w:val="3E3E3E"/>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w:t>
            </w:r>
            <w:r w:rsidRPr="00F50555">
              <w:rPr>
                <w:rFonts w:ascii="仿宋_GB2312" w:eastAsia="仿宋_GB2312" w:hAnsi="微软雅黑" w:cs="宋体" w:hint="eastAsia"/>
                <w:color w:val="3E3E3E"/>
                <w:kern w:val="0"/>
                <w:sz w:val="24"/>
                <w:szCs w:val="24"/>
              </w:rPr>
              <w:lastRenderedPageBreak/>
              <w:t>业整顿；构成犯罪的，依照刑法有关规定追究刑事责任：</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（二）安全设备的安装、使用、检测、改造和报废不符合国家标准或者行业标准的。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16</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液化烃、液氨、液氯等易燃易爆、有毒有害液化气体的充装未使用万向节管道充装系统的。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《安全生产法》第三十八条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17</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浮顶储罐运行中浮盘落底的。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《安全生产法》第三十八条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5000" w:type="pct"/>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楷体_GB2312" w:eastAsia="楷体_GB2312" w:hAnsi="微软雅黑" w:cs="宋体" w:hint="eastAsia"/>
                <w:b/>
                <w:bCs/>
                <w:color w:val="3E3E3E"/>
                <w:kern w:val="0"/>
                <w:sz w:val="24"/>
                <w:szCs w:val="24"/>
              </w:rPr>
              <w:t>设备设施管理</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18</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安全设备的安装、使用、检测、维修、改造和报废不符合国家标准或行业标准；或使用国家明令淘汰的危及生</w:t>
            </w:r>
            <w:r w:rsidRPr="00F50555">
              <w:rPr>
                <w:rFonts w:ascii="仿宋_GB2312" w:eastAsia="仿宋_GB2312" w:hAnsi="微软雅黑" w:cs="宋体" w:hint="eastAsia"/>
                <w:color w:val="3E3E3E"/>
                <w:kern w:val="0"/>
                <w:sz w:val="24"/>
                <w:szCs w:val="24"/>
              </w:rPr>
              <w:lastRenderedPageBreak/>
              <w:t>产安全的工艺、设备的。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《安全生产法》第三十三条、第三十五条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（二）安全设备的安装、使用、检测、改造和报废不符合国家标准或者行业标准的；</w:t>
            </w:r>
          </w:p>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（六）使用应当淘汰的危及生产安全的工艺、设备的。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19</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油气储罐未按规定达到以下要求的：</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（1）液化烃的储罐应设液位计、温度计、压力表、安全阀，以及高液位报警和高高液位自动连锁切断进料措施；全冷冻式液化烃储罐还应设真空泄放设施和高、低温度检测，并应与自动控制系统相联；</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 xml:space="preserve">（2）气柜应设上、下限位报警装置，并宜设进出管道自动联锁切断装置； </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（3）液化石油气球形储罐液相进出口应设置紧急切断阀，其位置宜靠近球形</w:t>
            </w:r>
            <w:r w:rsidRPr="00F50555">
              <w:rPr>
                <w:rFonts w:ascii="仿宋_GB2312" w:eastAsia="仿宋_GB2312" w:hAnsi="微软雅黑" w:cs="宋体" w:hint="eastAsia"/>
                <w:color w:val="3E3E3E"/>
                <w:kern w:val="0"/>
                <w:sz w:val="24"/>
                <w:szCs w:val="24"/>
              </w:rPr>
              <w:lastRenderedPageBreak/>
              <w:t>储罐；</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（4）丙烯、丙烷、混合C</w:t>
            </w:r>
            <w:r w:rsidRPr="00F50555">
              <w:rPr>
                <w:rFonts w:ascii="仿宋_GB2312" w:eastAsia="仿宋_GB2312" w:hAnsi="微软雅黑" w:cs="宋体" w:hint="eastAsia"/>
                <w:color w:val="3E3E3E"/>
                <w:kern w:val="0"/>
                <w:sz w:val="24"/>
                <w:szCs w:val="24"/>
                <w:vertAlign w:val="subscript"/>
              </w:rPr>
              <w:t>4</w:t>
            </w:r>
            <w:r w:rsidRPr="00F50555">
              <w:rPr>
                <w:rFonts w:ascii="仿宋_GB2312" w:eastAsia="仿宋_GB2312" w:hAnsi="微软雅黑" w:cs="宋体" w:hint="eastAsia"/>
                <w:color w:val="3E3E3E"/>
                <w:kern w:val="0"/>
                <w:sz w:val="24"/>
                <w:szCs w:val="24"/>
              </w:rPr>
              <w:t>、抽余C</w:t>
            </w:r>
            <w:r w:rsidRPr="00F50555">
              <w:rPr>
                <w:rFonts w:ascii="仿宋_GB2312" w:eastAsia="仿宋_GB2312" w:hAnsi="微软雅黑" w:cs="宋体" w:hint="eastAsia"/>
                <w:color w:val="3E3E3E"/>
                <w:kern w:val="0"/>
                <w:sz w:val="24"/>
                <w:szCs w:val="24"/>
                <w:vertAlign w:val="subscript"/>
              </w:rPr>
              <w:t>4</w:t>
            </w:r>
            <w:r w:rsidRPr="00F50555">
              <w:rPr>
                <w:rFonts w:ascii="仿宋_GB2312" w:eastAsia="仿宋_GB2312" w:hAnsi="微软雅黑" w:cs="宋体" w:hint="eastAsia"/>
                <w:color w:val="3E3E3E"/>
                <w:kern w:val="0"/>
                <w:sz w:val="24"/>
                <w:szCs w:val="24"/>
              </w:rPr>
              <w:t>及液化石油气的球形储罐应设置注水措施。</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《安全生产法》第三十三条；</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《石油化工企业设计防火规范》（GB50160）第6.3.11条、第6.3.12条；《液化烃球形储罐安全设计规范》（SH3136）第6.1条、第7.4条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（二）安全设备的安装、使用、检测、改造和报废不符合国家标准或者行业标准的。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20</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涉及危险化工工艺、重点监管危险化学品的装置未设置自动化控制系统；或者涉及危险化工工艺的大型化工装置未设置紧急停车系统的。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《危险化学品生产企业安全生产许可证实施办法》（国家安全监管总局令第41号）第九条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21</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有毒有害、可燃气体泄漏检测报警系统未按照标准设置、使用或定期检测校验；以及报警信号未发送至有操作人员常驻的控制室、现场操作室进行报警的。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《安全生产法》第三十三条、《石油化工企业可燃气体和有毒气体检测报警</w:t>
            </w:r>
            <w:r w:rsidRPr="00F50555">
              <w:rPr>
                <w:rFonts w:ascii="仿宋_GB2312" w:eastAsia="仿宋_GB2312" w:hAnsi="微软雅黑" w:cs="宋体" w:hint="eastAsia"/>
                <w:color w:val="3E3E3E"/>
                <w:kern w:val="0"/>
                <w:sz w:val="24"/>
                <w:szCs w:val="24"/>
              </w:rPr>
              <w:lastRenderedPageBreak/>
              <w:t>设计规范》（GB50493）</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lastRenderedPageBreak/>
              <w:t>《安全生产法》</w:t>
            </w:r>
            <w:r w:rsidRPr="00F50555">
              <w:rPr>
                <w:rFonts w:ascii="仿宋_GB2312" w:eastAsia="仿宋_GB2312" w:hAnsi="微软雅黑" w:cs="宋体" w:hint="eastAsia"/>
                <w:color w:val="3E3E3E"/>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（二）安全设备的安装、使用、检测、改造和报废不符合国家标准或者行业标准的。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22</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安全联锁未正常投用或未经审批摘除以及经审批后临时摘除超过一个月未恢复的。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《安全生产法》第三十三条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（二）安全设备的安装、使用、检测、改造和报废不符合国家标准或者行业标准的。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23</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工艺或安全仪表报警时未及时处置的。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《安全生产法》第三十八条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24</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在用装置（设施）安全阀或泄压排放系统未正常投用的。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《安全生产法》第三十三条、《固定式压力容器安全技术监察规程》（TSG R0004-2009）第8.3.5条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（二）安全设备的安装、使用、检测、改造和报废不符合国家标准或者行业标准的。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25</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涉及放热反应的危险化工工艺生产装置未设置</w:t>
            </w:r>
            <w:r w:rsidRPr="00F50555">
              <w:rPr>
                <w:rFonts w:ascii="仿宋_GB2312" w:eastAsia="仿宋_GB2312" w:hAnsi="微软雅黑" w:cs="宋体" w:hint="eastAsia"/>
                <w:color w:val="3E3E3E"/>
                <w:kern w:val="0"/>
                <w:sz w:val="24"/>
                <w:szCs w:val="24"/>
              </w:rPr>
              <w:lastRenderedPageBreak/>
              <w:t>双重电源供电或控制系统未设置不间断电源（UPS）的。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《安全生产法》第三十八</w:t>
            </w:r>
            <w:r w:rsidRPr="00F50555">
              <w:rPr>
                <w:rFonts w:ascii="仿宋_GB2312" w:eastAsia="仿宋_GB2312" w:hAnsi="微软雅黑" w:cs="宋体" w:hint="eastAsia"/>
                <w:color w:val="3E3E3E"/>
                <w:kern w:val="0"/>
                <w:sz w:val="24"/>
                <w:szCs w:val="24"/>
              </w:rPr>
              <w:lastRenderedPageBreak/>
              <w:t>条、《石油化工企业生产装置电力设计技术规范》（SH3038）、</w:t>
            </w:r>
          </w:p>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《供配电系统设计规范》（GB50052）</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lastRenderedPageBreak/>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w:t>
            </w:r>
            <w:r w:rsidRPr="00F50555">
              <w:rPr>
                <w:rFonts w:ascii="仿宋_GB2312" w:eastAsia="仿宋_GB2312" w:hAnsi="微软雅黑" w:cs="宋体" w:hint="eastAsia"/>
                <w:color w:val="3E3E3E"/>
                <w:kern w:val="0"/>
                <w:sz w:val="24"/>
                <w:szCs w:val="24"/>
              </w:rPr>
              <w:lastRenderedPageBreak/>
              <w:t>罚款。</w:t>
            </w:r>
          </w:p>
        </w:tc>
      </w:tr>
      <w:tr w:rsidR="00F50555" w:rsidRPr="00F50555" w:rsidTr="00F50555">
        <w:trPr>
          <w:trHeight w:val="510"/>
        </w:trPr>
        <w:tc>
          <w:tcPr>
            <w:tcW w:w="5000" w:type="pct"/>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楷体_GB2312" w:eastAsia="楷体_GB2312" w:hAnsi="微软雅黑" w:cs="宋体" w:hint="eastAsia"/>
                <w:b/>
                <w:bCs/>
                <w:color w:val="3E3E3E"/>
                <w:kern w:val="0"/>
                <w:sz w:val="24"/>
                <w:szCs w:val="24"/>
              </w:rPr>
              <w:lastRenderedPageBreak/>
              <w:t>安全管理</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26</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未建立变更管理制度或未严格执行的。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《安全生产法》第四条、第四十一条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第九十一条：生产经营单位的主要负责人未履行本法规定的安全生产管理职责的，责令限期改正；逾期未改正的，处二万元以上五万元以下的罚款，责令生产经营单位停产停业整顿。</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27</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危险化学品生产装置、罐区、仓库等设施与周边的安全距离不符合要求的。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《安全生产法》第三十八条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28</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控制室或机柜间面向具有火灾、爆炸危险性装置一侧有门窗的。（20</w:t>
            </w:r>
            <w:r w:rsidRPr="00F50555">
              <w:rPr>
                <w:rFonts w:ascii="仿宋_GB2312" w:eastAsia="仿宋_GB2312" w:hAnsi="微软雅黑" w:cs="宋体" w:hint="eastAsia"/>
                <w:color w:val="3E3E3E"/>
                <w:kern w:val="0"/>
                <w:sz w:val="24"/>
                <w:szCs w:val="24"/>
              </w:rPr>
              <w:lastRenderedPageBreak/>
              <w:t>17年前必须整改完成）</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《安全生产法》第三十八条、《石</w:t>
            </w:r>
            <w:r w:rsidRPr="00F50555">
              <w:rPr>
                <w:rFonts w:ascii="仿宋_GB2312" w:eastAsia="仿宋_GB2312" w:hAnsi="微软雅黑" w:cs="宋体" w:hint="eastAsia"/>
                <w:color w:val="3E3E3E"/>
                <w:kern w:val="0"/>
                <w:sz w:val="24"/>
                <w:szCs w:val="24"/>
              </w:rPr>
              <w:lastRenderedPageBreak/>
              <w:t>油化工企业设计防火规范》（GB50160）第5.2.18条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lastRenderedPageBreak/>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29</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生产、经营、储存、使用危险化学品的车间、仓库与员工宿舍在同一座建筑内或与员工宿舍的距离不符合安全要求的。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《安全生产法》第三十九条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一百零二条：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（一）生产、经营、储存、使用危险物品的车间、商店、仓库与员工宿舍在同一座建筑内，或者与员工宿舍的距离不符合安全要求的。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30</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危险化学品未按照标准分区、分类、分库存放，或存在超量、超品种以及相互禁忌物质混放混存的。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《危险化学品安全管理条例》第二十四条、</w:t>
            </w:r>
          </w:p>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《常用化学危险品贮存通则》（GB 15603）</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《危险化学品安全管理条例》</w:t>
            </w:r>
            <w:r w:rsidRPr="00F50555">
              <w:rPr>
                <w:rFonts w:ascii="仿宋_GB2312" w:eastAsia="仿宋_GB2312" w:hAnsi="微软雅黑" w:cs="宋体" w:hint="eastAsia"/>
                <w:color w:val="3E3E3E"/>
                <w:kern w:val="0"/>
                <w:sz w:val="24"/>
                <w:szCs w:val="24"/>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(五)危险化学品的储存方式、方法或者储存数量不符合国家标准或者国家有关规定的。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31</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危险化学品厂际输送管道存</w:t>
            </w:r>
            <w:r w:rsidRPr="00F50555">
              <w:rPr>
                <w:rFonts w:ascii="仿宋_GB2312" w:eastAsia="仿宋_GB2312" w:hAnsi="微软雅黑" w:cs="宋体" w:hint="eastAsia"/>
                <w:color w:val="3E3E3E"/>
                <w:kern w:val="0"/>
                <w:sz w:val="24"/>
                <w:szCs w:val="24"/>
              </w:rPr>
              <w:lastRenderedPageBreak/>
              <w:t>在违章占压、安全距离不足和违规交叉穿越问题的。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《安全生产法》</w:t>
            </w:r>
            <w:r w:rsidRPr="00F50555">
              <w:rPr>
                <w:rFonts w:ascii="仿宋_GB2312" w:eastAsia="仿宋_GB2312" w:hAnsi="微软雅黑" w:cs="宋体" w:hint="eastAsia"/>
                <w:color w:val="3E3E3E"/>
                <w:kern w:val="0"/>
                <w:sz w:val="24"/>
                <w:szCs w:val="24"/>
              </w:rPr>
              <w:lastRenderedPageBreak/>
              <w:t>第三十八条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lastRenderedPageBreak/>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w:t>
            </w:r>
            <w:r w:rsidRPr="00F50555">
              <w:rPr>
                <w:rFonts w:ascii="仿宋_GB2312" w:eastAsia="仿宋_GB2312" w:hAnsi="微软雅黑" w:cs="宋体" w:hint="eastAsia"/>
                <w:color w:val="3E3E3E"/>
                <w:kern w:val="0"/>
                <w:sz w:val="24"/>
                <w:szCs w:val="24"/>
              </w:rPr>
              <w:lastRenderedPageBreak/>
              <w:t>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32</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光气、氯气（液氯）等剧毒化学品管道穿（跨）越公共区域的。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《危险化学品输送管道安全管理规定》（国家安全监管总局令第43号）</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33</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动火作业未按规定进行可燃气体分析；受限空间作业未按规定进行可燃气体、氧含量和有毒气体分析；以及作业过程无人监护的。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《安全生产法》第四十条、</w:t>
            </w:r>
          </w:p>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《化学品生产单位特殊作业安全规范》（GB30871）</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F50555" w:rsidRPr="00F50555" w:rsidRDefault="00F50555" w:rsidP="00F50555">
            <w:pPr>
              <w:widowControl/>
              <w:shd w:val="clear" w:color="auto" w:fill="FFFFFF"/>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（三）进行爆破、吊装以及国务院安全生产监督管理部门会同国务院有关部门规定的其他危险作业，未安排专门人员进行现场安全管理的。</w:t>
            </w:r>
          </w:p>
          <w:p w:rsidR="00F50555" w:rsidRPr="00F50555" w:rsidRDefault="00F50555" w:rsidP="00F50555">
            <w:pPr>
              <w:widowControl/>
              <w:shd w:val="clear" w:color="auto" w:fill="FFFFFF"/>
              <w:wordWrap w:val="0"/>
              <w:spacing w:line="25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34</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脱水、装卸、倒罐作业时，作业人员离开现场或油气罐区同一防火堤内切水和</w:t>
            </w:r>
            <w:r w:rsidRPr="00F50555">
              <w:rPr>
                <w:rFonts w:ascii="仿宋_GB2312" w:eastAsia="仿宋_GB2312" w:hAnsi="微软雅黑" w:cs="宋体" w:hint="eastAsia"/>
                <w:color w:val="3E3E3E"/>
                <w:kern w:val="0"/>
                <w:sz w:val="24"/>
                <w:szCs w:val="24"/>
              </w:rPr>
              <w:lastRenderedPageBreak/>
              <w:t>动火作业同时进行的。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《安全生产法》第三十八条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35</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在有较大危险因素的生产经营场所和有关设施、设备上未设置明显的安全警示标志的。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《安全生产法》第三十二条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（一）未在有较大危险因素的生产经营场所和有关设施、设备上设置明显的安全警示标志的。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36</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危险化学品生产企业未提供化学品安全技术说明书，未在包装（包括外包装件）上粘贴、拴挂化学品安全标签的。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《危险化学品安全管理条例》第十五条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《危险化学品安全管理条例》</w:t>
            </w:r>
            <w:r w:rsidRPr="00F50555">
              <w:rPr>
                <w:rFonts w:ascii="仿宋_GB2312" w:eastAsia="仿宋_GB2312" w:hAnsi="微软雅黑" w:cs="宋体" w:hint="eastAsia"/>
                <w:color w:val="3E3E3E"/>
                <w:kern w:val="0"/>
                <w:sz w:val="24"/>
                <w:szCs w:val="24"/>
              </w:rPr>
              <w:t>第七十八条：有下列情形之一的，由安全生产监督管理部门责令改正，可以处5万元以下的罚款；拒不改正的，处5万元以上10万元以下的罚款；情节严重的，责令停产停业整顿：</w:t>
            </w:r>
          </w:p>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（三）危险化学品生产企业未提供化学品安全技术说明书，或者未在包装(包括外包装件)上粘贴、拴挂化学品安全标签的。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37</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对重大危险源未登记建档，或者未进行评估、有效监控的。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《安全生产法》第三十七条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F50555" w:rsidRPr="00F50555" w:rsidRDefault="00F50555" w:rsidP="00F50555">
            <w:pPr>
              <w:widowControl/>
              <w:wordWrap w:val="0"/>
              <w:spacing w:line="300"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（二）对重大危险源未登记建档，或者未进行评估、监控，或者未制定应急预案的。</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38</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未对重大危险源的安全生产状况进行定期检查，采取措施消除事故隐患的。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《危险化学品重大危险源监督管理暂行规定》（国家安</w:t>
            </w:r>
            <w:r w:rsidRPr="00F50555">
              <w:rPr>
                <w:rFonts w:ascii="仿宋_GB2312" w:eastAsia="仿宋_GB2312" w:hAnsi="微软雅黑" w:cs="宋体" w:hint="eastAsia"/>
                <w:color w:val="3E3E3E"/>
                <w:kern w:val="0"/>
                <w:sz w:val="24"/>
                <w:szCs w:val="24"/>
              </w:rPr>
              <w:lastRenderedPageBreak/>
              <w:t>全监管总局令第40号）第十六条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4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危险化学品重大危险源监督管理暂行规定》第三十五条：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lastRenderedPageBreak/>
              <w:t>39</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易燃易爆区域使用非防爆工具或电器的。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《安全生产法》第三十八条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34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r w:rsidR="00F50555" w:rsidRPr="00F50555" w:rsidTr="00F50555">
        <w:trPr>
          <w:trHeight w:val="510"/>
        </w:trPr>
        <w:tc>
          <w:tcPr>
            <w:tcW w:w="321"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285" w:lineRule="atLeast"/>
              <w:jc w:val="center"/>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40</w:t>
            </w:r>
          </w:p>
        </w:tc>
        <w:tc>
          <w:tcPr>
            <w:tcW w:w="798"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未在存在有毒气体的区域配备便携式检测仪、空气呼吸器等器材和设备或者不能正确佩戴、使用个体防护用品和应急救援器材的。</w:t>
            </w:r>
          </w:p>
        </w:tc>
        <w:tc>
          <w:tcPr>
            <w:tcW w:w="470"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shd w:val="clear" w:color="auto" w:fill="FFFFFF"/>
              <w:wordWrap w:val="0"/>
              <w:spacing w:line="28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color w:val="3E3E3E"/>
                <w:kern w:val="0"/>
                <w:sz w:val="24"/>
                <w:szCs w:val="24"/>
              </w:rPr>
              <w:t>《安全生产法》第三十八条、第七十九条</w:t>
            </w:r>
          </w:p>
        </w:tc>
        <w:tc>
          <w:tcPr>
            <w:tcW w:w="3411" w:type="pc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50555" w:rsidRPr="00F50555" w:rsidRDefault="00F50555" w:rsidP="00F50555">
            <w:pPr>
              <w:widowControl/>
              <w:wordWrap w:val="0"/>
              <w:spacing w:line="345" w:lineRule="atLeast"/>
              <w:jc w:val="left"/>
              <w:rPr>
                <w:rFonts w:ascii="微软雅黑" w:eastAsia="微软雅黑" w:hAnsi="微软雅黑" w:cs="宋体"/>
                <w:color w:val="3E3E3E"/>
                <w:kern w:val="0"/>
                <w:sz w:val="24"/>
                <w:szCs w:val="24"/>
              </w:rPr>
            </w:pPr>
            <w:r w:rsidRPr="00F50555">
              <w:rPr>
                <w:rFonts w:ascii="仿宋_GB2312" w:eastAsia="仿宋_GB2312" w:hAnsi="微软雅黑" w:cs="宋体" w:hint="eastAsia"/>
                <w:b/>
                <w:bCs/>
                <w:color w:val="3E3E3E"/>
                <w:kern w:val="0"/>
                <w:sz w:val="24"/>
                <w:szCs w:val="24"/>
              </w:rPr>
              <w:t>《安全生产法》</w:t>
            </w:r>
            <w:r w:rsidRPr="00F50555">
              <w:rPr>
                <w:rFonts w:ascii="仿宋_GB2312" w:eastAsia="仿宋_GB2312" w:hAnsi="微软雅黑" w:cs="宋体" w:hint="eastAsia"/>
                <w:color w:val="3E3E3E"/>
                <w:kern w:val="0"/>
                <w:sz w:val="24"/>
                <w:szCs w:val="24"/>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bl>
    <w:p w:rsidR="008237D6" w:rsidRPr="00F50555" w:rsidRDefault="008237D6"/>
    <w:sectPr w:rsidR="008237D6" w:rsidRPr="00F50555" w:rsidSect="00E24B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E8" w:rsidRDefault="002A65E8" w:rsidP="005D66DD">
      <w:r>
        <w:separator/>
      </w:r>
    </w:p>
  </w:endnote>
  <w:endnote w:type="continuationSeparator" w:id="0">
    <w:p w:rsidR="002A65E8" w:rsidRDefault="002A65E8" w:rsidP="005D6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variable"/>
    <w:sig w:usb0="00000000"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E8" w:rsidRDefault="002A65E8" w:rsidP="005D66DD">
      <w:r>
        <w:separator/>
      </w:r>
    </w:p>
  </w:footnote>
  <w:footnote w:type="continuationSeparator" w:id="0">
    <w:p w:rsidR="002A65E8" w:rsidRDefault="002A65E8" w:rsidP="005D66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54EC"/>
    <w:rsid w:val="002A65E8"/>
    <w:rsid w:val="005D66DD"/>
    <w:rsid w:val="008237D6"/>
    <w:rsid w:val="00AE54EC"/>
    <w:rsid w:val="00E24B59"/>
    <w:rsid w:val="00F50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5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0555"/>
    <w:rPr>
      <w:b/>
      <w:bCs/>
    </w:rPr>
  </w:style>
  <w:style w:type="paragraph" w:styleId="a5">
    <w:name w:val="header"/>
    <w:basedOn w:val="a"/>
    <w:link w:val="Char"/>
    <w:uiPriority w:val="99"/>
    <w:semiHidden/>
    <w:unhideWhenUsed/>
    <w:rsid w:val="005D6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D66DD"/>
    <w:rPr>
      <w:sz w:val="18"/>
      <w:szCs w:val="18"/>
    </w:rPr>
  </w:style>
  <w:style w:type="paragraph" w:styleId="a6">
    <w:name w:val="footer"/>
    <w:basedOn w:val="a"/>
    <w:link w:val="Char0"/>
    <w:uiPriority w:val="99"/>
    <w:semiHidden/>
    <w:unhideWhenUsed/>
    <w:rsid w:val="005D66D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D66DD"/>
    <w:rPr>
      <w:sz w:val="18"/>
      <w:szCs w:val="18"/>
    </w:rPr>
  </w:style>
</w:styles>
</file>

<file path=word/webSettings.xml><?xml version="1.0" encoding="utf-8"?>
<w:webSettings xmlns:r="http://schemas.openxmlformats.org/officeDocument/2006/relationships" xmlns:w="http://schemas.openxmlformats.org/wordprocessingml/2006/main">
  <w:divs>
    <w:div w:id="12070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1419</Words>
  <Characters>8094</Characters>
  <Application>Microsoft Office Word</Application>
  <DocSecurity>0</DocSecurity>
  <Lines>67</Lines>
  <Paragraphs>18</Paragraphs>
  <ScaleCrop>false</ScaleCrop>
  <Company>rwt</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2015-12-24T00:07:00Z</dcterms:created>
  <dcterms:modified xsi:type="dcterms:W3CDTF">2015-12-24T00:17:00Z</dcterms:modified>
</cp:coreProperties>
</file>