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CC6" w:rsidRPr="00B70CC6" w:rsidRDefault="00B70CC6" w:rsidP="00B70CC6">
      <w:pPr>
        <w:widowControl/>
        <w:shd w:val="clear" w:color="auto" w:fill="FFFFFF"/>
        <w:spacing w:line="384" w:lineRule="atLeast"/>
        <w:jc w:val="center"/>
        <w:rPr>
          <w:rFonts w:ascii="微软雅黑" w:eastAsia="微软雅黑" w:hAnsi="微软雅黑" w:cs="宋体"/>
          <w:color w:val="3E3E3E"/>
          <w:kern w:val="0"/>
          <w:sz w:val="24"/>
          <w:szCs w:val="24"/>
        </w:rPr>
      </w:pPr>
      <w:bookmarkStart w:id="0" w:name="_GoBack"/>
      <w:r w:rsidRPr="00B70CC6">
        <w:rPr>
          <w:rFonts w:ascii="华文中宋" w:eastAsia="华文中宋" w:hAnsi="华文中宋" w:cs="宋体" w:hint="eastAsia"/>
          <w:b/>
          <w:bCs/>
          <w:color w:val="3E3E3E"/>
          <w:kern w:val="0"/>
          <w:sz w:val="44"/>
          <w:szCs w:val="44"/>
        </w:rPr>
        <w:t>危险化学品企业重大隐患认定指导目录</w:t>
      </w:r>
      <w:bookmarkEnd w:id="0"/>
    </w:p>
    <w:p w:rsidR="00B70CC6" w:rsidRPr="00B70CC6" w:rsidRDefault="00B70CC6" w:rsidP="00B70CC6">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B70CC6">
        <w:rPr>
          <w:rFonts w:ascii="楷体_GB2312" w:eastAsia="楷体_GB2312" w:hAnsi="微软雅黑" w:cs="宋体" w:hint="eastAsia"/>
          <w:color w:val="3E3E3E"/>
          <w:kern w:val="0"/>
          <w:sz w:val="32"/>
          <w:szCs w:val="32"/>
        </w:rPr>
        <w:t>（试行）</w:t>
      </w:r>
    </w:p>
    <w:tbl>
      <w:tblPr>
        <w:tblW w:w="5000" w:type="pct"/>
        <w:shd w:val="clear" w:color="auto" w:fill="FFFFFF"/>
        <w:tblCellMar>
          <w:left w:w="0" w:type="dxa"/>
          <w:right w:w="0" w:type="dxa"/>
        </w:tblCellMar>
        <w:tblLook w:val="04A0" w:firstRow="1" w:lastRow="0" w:firstColumn="1" w:lastColumn="0" w:noHBand="0" w:noVBand="1"/>
      </w:tblPr>
      <w:tblGrid>
        <w:gridCol w:w="594"/>
        <w:gridCol w:w="7696"/>
      </w:tblGrid>
      <w:tr w:rsidR="00B70CC6" w:rsidRPr="00B70CC6" w:rsidTr="00B70CC6">
        <w:trPr>
          <w:trHeight w:val="510"/>
        </w:trPr>
        <w:tc>
          <w:tcPr>
            <w:tcW w:w="358" w:type="pc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b/>
                <w:bCs/>
                <w:color w:val="3E3E3E"/>
                <w:kern w:val="0"/>
                <w:sz w:val="24"/>
                <w:szCs w:val="24"/>
              </w:rPr>
              <w:t>序号</w:t>
            </w:r>
          </w:p>
        </w:tc>
        <w:tc>
          <w:tcPr>
            <w:tcW w:w="4642" w:type="pc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b/>
                <w:bCs/>
                <w:color w:val="3E3E3E"/>
                <w:kern w:val="0"/>
                <w:sz w:val="24"/>
                <w:szCs w:val="24"/>
              </w:rPr>
              <w:t>重大隐患</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1</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shd w:val="clear" w:color="auto" w:fill="FFFFFF"/>
              <w:wordWrap w:val="0"/>
              <w:spacing w:line="360" w:lineRule="atLeast"/>
              <w:jc w:val="left"/>
              <w:rPr>
                <w:rFonts w:ascii="微软雅黑" w:eastAsia="微软雅黑" w:hAnsi="微软雅黑" w:cs="宋体" w:hint="eastAsia"/>
                <w:color w:val="3E3E3E"/>
                <w:kern w:val="0"/>
                <w:sz w:val="24"/>
                <w:szCs w:val="24"/>
              </w:rPr>
            </w:pPr>
            <w:r w:rsidRPr="00B70CC6">
              <w:rPr>
                <w:rFonts w:ascii="宋体" w:eastAsia="宋体" w:hAnsi="宋体" w:cs="宋体" w:hint="eastAsia"/>
                <w:color w:val="3E3E3E"/>
                <w:kern w:val="0"/>
                <w:sz w:val="24"/>
                <w:szCs w:val="24"/>
              </w:rPr>
              <w:t>涉及“两重点</w:t>
            </w:r>
            <w:proofErr w:type="gramStart"/>
            <w:r w:rsidRPr="00B70CC6">
              <w:rPr>
                <w:rFonts w:ascii="宋体" w:eastAsia="宋体" w:hAnsi="宋体" w:cs="宋体" w:hint="eastAsia"/>
                <w:color w:val="3E3E3E"/>
                <w:kern w:val="0"/>
                <w:sz w:val="24"/>
                <w:szCs w:val="24"/>
              </w:rPr>
              <w:t>一</w:t>
            </w:r>
            <w:proofErr w:type="gramEnd"/>
            <w:r w:rsidRPr="00B70CC6">
              <w:rPr>
                <w:rFonts w:ascii="宋体" w:eastAsia="宋体" w:hAnsi="宋体" w:cs="宋体" w:hint="eastAsia"/>
                <w:color w:val="3E3E3E"/>
                <w:kern w:val="0"/>
                <w:sz w:val="24"/>
                <w:szCs w:val="24"/>
              </w:rPr>
              <w:t>重大”企业的安全管理人员、特种作业人员和仪表操作人员，未经考试考核合格或未持证上岗。</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2</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发现在易燃易爆场所吸烟和脱岗、睡岗、酒后上岗的证据。</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3</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新进、转岗员工未按规定进行安全教育培训并考核合格。</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4</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未审核承包商资质，未对承包商作业人员进行安全教育培训并考核合格，未派监护人员对承包商作业进行现场监护。</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5</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装置未经过正规设计且未完成设计诊断。</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6</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新开发的生产工艺未经</w:t>
            </w:r>
            <w:r w:rsidRPr="00B70CC6">
              <w:rPr>
                <w:rFonts w:ascii="Calibri" w:eastAsia="仿宋" w:hAnsi="Calibri" w:cs="宋体"/>
                <w:color w:val="3E3E3E"/>
                <w:kern w:val="0"/>
                <w:sz w:val="24"/>
                <w:szCs w:val="24"/>
              </w:rPr>
              <w:t>HAZOP</w:t>
            </w:r>
            <w:r w:rsidRPr="00B70CC6">
              <w:rPr>
                <w:rFonts w:ascii="Calibri" w:eastAsia="仿宋" w:hAnsi="Calibri" w:cs="宋体"/>
                <w:color w:val="3E3E3E"/>
                <w:kern w:val="0"/>
                <w:sz w:val="24"/>
                <w:szCs w:val="24"/>
              </w:rPr>
              <w:t>分析、工业化试验以及省级人民政府有关部门组织的安全可靠性论证，直接进行工业化生产。</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7</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未建立或未严格执行变更管理制度。</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8</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未建立安全（工艺）操作规程和工艺控制指标。</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9</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安全连锁不投用或未经审批摘除或摘除超过</w:t>
            </w:r>
            <w:r w:rsidRPr="00B70CC6">
              <w:rPr>
                <w:rFonts w:ascii="Calibri" w:eastAsia="仿宋" w:hAnsi="Calibri" w:cs="宋体"/>
                <w:color w:val="3E3E3E"/>
                <w:kern w:val="0"/>
                <w:sz w:val="24"/>
                <w:szCs w:val="24"/>
              </w:rPr>
              <w:t>1</w:t>
            </w:r>
            <w:r w:rsidRPr="00B70CC6">
              <w:rPr>
                <w:rFonts w:ascii="Calibri" w:eastAsia="仿宋" w:hAnsi="Calibri" w:cs="宋体"/>
                <w:color w:val="3E3E3E"/>
                <w:kern w:val="0"/>
                <w:sz w:val="24"/>
                <w:szCs w:val="24"/>
              </w:rPr>
              <w:t>个月。</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10</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在用装置设施安全阀、切断阀或泄压排放系统关闭。</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11</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生产装置、设施超温、超压、</w:t>
            </w:r>
            <w:proofErr w:type="gramStart"/>
            <w:r w:rsidRPr="00B70CC6">
              <w:rPr>
                <w:rFonts w:ascii="Calibri" w:eastAsia="仿宋" w:hAnsi="Calibri" w:cs="宋体"/>
                <w:color w:val="3E3E3E"/>
                <w:kern w:val="0"/>
                <w:sz w:val="24"/>
                <w:szCs w:val="24"/>
              </w:rPr>
              <w:t>超液位</w:t>
            </w:r>
            <w:proofErr w:type="gramEnd"/>
            <w:r w:rsidRPr="00B70CC6">
              <w:rPr>
                <w:rFonts w:ascii="Calibri" w:eastAsia="仿宋" w:hAnsi="Calibri" w:cs="宋体"/>
                <w:color w:val="3E3E3E"/>
                <w:kern w:val="0"/>
                <w:sz w:val="24"/>
                <w:szCs w:val="24"/>
              </w:rPr>
              <w:t>运行。</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12</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涉及液态烃、环氧乙烷、液氨、液氯、硫化氢等物料的安全阀及其他泄放设施直排大气。</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13</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未采用万向管道系统充装液氯、液氨、液态烃等危险化学品。</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14</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浮顶储罐运行中浮盘落底。</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15</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油气储罐未按照规定设置温度、液位、压力测量仪表和连锁，未达到以下要求：</w:t>
            </w:r>
          </w:p>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w:t>
            </w:r>
            <w:r w:rsidRPr="00B70CC6">
              <w:rPr>
                <w:rFonts w:ascii="Calibri" w:eastAsia="仿宋" w:hAnsi="Calibri" w:cs="宋体"/>
                <w:color w:val="3E3E3E"/>
                <w:kern w:val="0"/>
                <w:sz w:val="24"/>
                <w:szCs w:val="24"/>
              </w:rPr>
              <w:t>1</w:t>
            </w:r>
            <w:r w:rsidRPr="00B70CC6">
              <w:rPr>
                <w:rFonts w:ascii="Calibri" w:eastAsia="仿宋" w:hAnsi="Calibri" w:cs="宋体"/>
                <w:color w:val="3E3E3E"/>
                <w:kern w:val="0"/>
                <w:sz w:val="24"/>
                <w:szCs w:val="24"/>
              </w:rPr>
              <w:t>）常压和低压储罐应设置液位计、温度计和高液位报警报警器；大于或等于</w:t>
            </w:r>
            <w:r w:rsidRPr="00B70CC6">
              <w:rPr>
                <w:rFonts w:ascii="Calibri" w:eastAsia="仿宋" w:hAnsi="Calibri" w:cs="宋体"/>
                <w:color w:val="3E3E3E"/>
                <w:kern w:val="0"/>
                <w:sz w:val="24"/>
                <w:szCs w:val="24"/>
              </w:rPr>
              <w:t>1</w:t>
            </w:r>
            <w:r w:rsidRPr="00B70CC6">
              <w:rPr>
                <w:rFonts w:ascii="Calibri" w:eastAsia="仿宋" w:hAnsi="Calibri" w:cs="宋体"/>
                <w:color w:val="3E3E3E"/>
                <w:kern w:val="0"/>
                <w:sz w:val="24"/>
                <w:szCs w:val="24"/>
              </w:rPr>
              <w:t>万</w:t>
            </w:r>
            <w:r w:rsidRPr="00B70CC6">
              <w:rPr>
                <w:rFonts w:ascii="Calibri" w:eastAsia="仿宋" w:hAnsi="Calibri" w:cs="宋体"/>
                <w:color w:val="3E3E3E"/>
                <w:kern w:val="0"/>
                <w:sz w:val="24"/>
                <w:szCs w:val="24"/>
              </w:rPr>
              <w:t>m</w:t>
            </w:r>
            <w:r w:rsidRPr="00B70CC6">
              <w:rPr>
                <w:rFonts w:ascii="Calibri" w:eastAsia="仿宋" w:hAnsi="Calibri" w:cs="宋体"/>
                <w:color w:val="3E3E3E"/>
                <w:kern w:val="0"/>
                <w:sz w:val="24"/>
                <w:szCs w:val="24"/>
                <w:vertAlign w:val="superscript"/>
              </w:rPr>
              <w:t>3</w:t>
            </w:r>
            <w:r w:rsidRPr="00B70CC6">
              <w:rPr>
                <w:rFonts w:ascii="Calibri" w:eastAsia="仿宋" w:hAnsi="Calibri" w:cs="宋体"/>
                <w:color w:val="3E3E3E"/>
                <w:kern w:val="0"/>
                <w:sz w:val="24"/>
                <w:szCs w:val="24"/>
              </w:rPr>
              <w:t>的储罐应设高高液位报警器并与进料管道控制阀连锁；</w:t>
            </w:r>
          </w:p>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w:t>
            </w:r>
            <w:r w:rsidRPr="00B70CC6">
              <w:rPr>
                <w:rFonts w:ascii="Calibri" w:eastAsia="仿宋" w:hAnsi="Calibri" w:cs="宋体"/>
                <w:color w:val="3E3E3E"/>
                <w:kern w:val="0"/>
                <w:sz w:val="24"/>
                <w:szCs w:val="24"/>
              </w:rPr>
              <w:t>2</w:t>
            </w:r>
            <w:r w:rsidRPr="00B70CC6">
              <w:rPr>
                <w:rFonts w:ascii="Calibri" w:eastAsia="仿宋" w:hAnsi="Calibri" w:cs="宋体"/>
                <w:color w:val="3E3E3E"/>
                <w:kern w:val="0"/>
                <w:sz w:val="24"/>
                <w:szCs w:val="24"/>
              </w:rPr>
              <w:t>）压力储罐应设置液位计、温度计、压力表、</w:t>
            </w:r>
            <w:proofErr w:type="gramStart"/>
            <w:r w:rsidRPr="00B70CC6">
              <w:rPr>
                <w:rFonts w:ascii="Calibri" w:eastAsia="仿宋" w:hAnsi="Calibri" w:cs="宋体"/>
                <w:color w:val="3E3E3E"/>
                <w:kern w:val="0"/>
                <w:sz w:val="24"/>
                <w:szCs w:val="24"/>
              </w:rPr>
              <w:t>低液位</w:t>
            </w:r>
            <w:proofErr w:type="gramEnd"/>
            <w:r w:rsidRPr="00B70CC6">
              <w:rPr>
                <w:rFonts w:ascii="Calibri" w:eastAsia="仿宋" w:hAnsi="Calibri" w:cs="宋体"/>
                <w:color w:val="3E3E3E"/>
                <w:kern w:val="0"/>
                <w:sz w:val="24"/>
                <w:szCs w:val="24"/>
              </w:rPr>
              <w:t>报警器、高液位报警器和高高液位自动连锁切断进料装置；</w:t>
            </w:r>
          </w:p>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w:t>
            </w:r>
            <w:r w:rsidRPr="00B70CC6">
              <w:rPr>
                <w:rFonts w:ascii="Calibri" w:eastAsia="仿宋" w:hAnsi="Calibri" w:cs="宋体"/>
                <w:color w:val="3E3E3E"/>
                <w:kern w:val="0"/>
                <w:sz w:val="24"/>
                <w:szCs w:val="24"/>
              </w:rPr>
              <w:t>3</w:t>
            </w:r>
            <w:r w:rsidRPr="00B70CC6">
              <w:rPr>
                <w:rFonts w:ascii="Calibri" w:eastAsia="仿宋" w:hAnsi="Calibri" w:cs="宋体"/>
                <w:color w:val="3E3E3E"/>
                <w:kern w:val="0"/>
                <w:sz w:val="24"/>
                <w:szCs w:val="24"/>
              </w:rPr>
              <w:t>）气柜应设上、</w:t>
            </w:r>
            <w:proofErr w:type="gramStart"/>
            <w:r w:rsidRPr="00B70CC6">
              <w:rPr>
                <w:rFonts w:ascii="Calibri" w:eastAsia="仿宋" w:hAnsi="Calibri" w:cs="宋体"/>
                <w:color w:val="3E3E3E"/>
                <w:kern w:val="0"/>
                <w:sz w:val="24"/>
                <w:szCs w:val="24"/>
              </w:rPr>
              <w:t>下限位</w:t>
            </w:r>
            <w:proofErr w:type="gramEnd"/>
            <w:r w:rsidRPr="00B70CC6">
              <w:rPr>
                <w:rFonts w:ascii="Calibri" w:eastAsia="仿宋" w:hAnsi="Calibri" w:cs="宋体"/>
                <w:color w:val="3E3E3E"/>
                <w:kern w:val="0"/>
                <w:sz w:val="24"/>
                <w:szCs w:val="24"/>
              </w:rPr>
              <w:t>报警装置，并宜设进出管道自动</w:t>
            </w:r>
            <w:proofErr w:type="gramStart"/>
            <w:r w:rsidRPr="00B70CC6">
              <w:rPr>
                <w:rFonts w:ascii="Calibri" w:eastAsia="仿宋" w:hAnsi="Calibri" w:cs="宋体"/>
                <w:color w:val="3E3E3E"/>
                <w:kern w:val="0"/>
                <w:sz w:val="24"/>
                <w:szCs w:val="24"/>
              </w:rPr>
              <w:t>联锁</w:t>
            </w:r>
            <w:proofErr w:type="gramEnd"/>
            <w:r w:rsidRPr="00B70CC6">
              <w:rPr>
                <w:rFonts w:ascii="Calibri" w:eastAsia="仿宋" w:hAnsi="Calibri" w:cs="宋体"/>
                <w:color w:val="3E3E3E"/>
                <w:kern w:val="0"/>
                <w:sz w:val="24"/>
                <w:szCs w:val="24"/>
              </w:rPr>
              <w:t>切断装置；</w:t>
            </w:r>
          </w:p>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lastRenderedPageBreak/>
              <w:t>（</w:t>
            </w:r>
            <w:r w:rsidRPr="00B70CC6">
              <w:rPr>
                <w:rFonts w:ascii="Calibri" w:eastAsia="仿宋" w:hAnsi="Calibri" w:cs="宋体"/>
                <w:color w:val="3E3E3E"/>
                <w:kern w:val="0"/>
                <w:sz w:val="24"/>
                <w:szCs w:val="24"/>
              </w:rPr>
              <w:t>4</w:t>
            </w:r>
            <w:r w:rsidRPr="00B70CC6">
              <w:rPr>
                <w:rFonts w:ascii="Calibri" w:eastAsia="仿宋" w:hAnsi="Calibri" w:cs="宋体"/>
                <w:color w:val="3E3E3E"/>
                <w:kern w:val="0"/>
                <w:sz w:val="24"/>
                <w:szCs w:val="24"/>
              </w:rPr>
              <w:t>）液氨的储罐，</w:t>
            </w:r>
            <w:proofErr w:type="gramStart"/>
            <w:r w:rsidRPr="00B70CC6">
              <w:rPr>
                <w:rFonts w:ascii="Calibri" w:eastAsia="仿宋" w:hAnsi="Calibri" w:cs="宋体"/>
                <w:color w:val="3E3E3E"/>
                <w:kern w:val="0"/>
                <w:sz w:val="24"/>
                <w:szCs w:val="24"/>
              </w:rPr>
              <w:t>应设液位</w:t>
            </w:r>
            <w:proofErr w:type="gramEnd"/>
            <w:r w:rsidRPr="00B70CC6">
              <w:rPr>
                <w:rFonts w:ascii="Calibri" w:eastAsia="仿宋" w:hAnsi="Calibri" w:cs="宋体"/>
                <w:color w:val="3E3E3E"/>
                <w:kern w:val="0"/>
                <w:sz w:val="24"/>
                <w:szCs w:val="24"/>
              </w:rPr>
              <w:t>计、压力表和安全阀。低温液氨储罐还应设温度指示仪；</w:t>
            </w:r>
          </w:p>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w:t>
            </w:r>
            <w:r w:rsidRPr="00B70CC6">
              <w:rPr>
                <w:rFonts w:ascii="Calibri" w:eastAsia="仿宋" w:hAnsi="Calibri" w:cs="宋体"/>
                <w:color w:val="3E3E3E"/>
                <w:kern w:val="0"/>
                <w:sz w:val="24"/>
                <w:szCs w:val="24"/>
              </w:rPr>
              <w:t>5</w:t>
            </w:r>
            <w:r w:rsidRPr="00B70CC6">
              <w:rPr>
                <w:rFonts w:ascii="Calibri" w:eastAsia="仿宋" w:hAnsi="Calibri" w:cs="宋体"/>
                <w:color w:val="3E3E3E"/>
                <w:kern w:val="0"/>
                <w:sz w:val="24"/>
                <w:szCs w:val="24"/>
              </w:rPr>
              <w:t>）液化烃的储罐，</w:t>
            </w:r>
            <w:proofErr w:type="gramStart"/>
            <w:r w:rsidRPr="00B70CC6">
              <w:rPr>
                <w:rFonts w:ascii="Calibri" w:eastAsia="仿宋" w:hAnsi="Calibri" w:cs="宋体"/>
                <w:color w:val="3E3E3E"/>
                <w:kern w:val="0"/>
                <w:sz w:val="24"/>
                <w:szCs w:val="24"/>
              </w:rPr>
              <w:t>应设液位</w:t>
            </w:r>
            <w:proofErr w:type="gramEnd"/>
            <w:r w:rsidRPr="00B70CC6">
              <w:rPr>
                <w:rFonts w:ascii="Calibri" w:eastAsia="仿宋" w:hAnsi="Calibri" w:cs="宋体"/>
                <w:color w:val="3E3E3E"/>
                <w:kern w:val="0"/>
                <w:sz w:val="24"/>
                <w:szCs w:val="24"/>
              </w:rPr>
              <w:t>计、温度计、压力表、</w:t>
            </w:r>
            <w:proofErr w:type="gramStart"/>
            <w:r w:rsidRPr="00B70CC6">
              <w:rPr>
                <w:rFonts w:ascii="Calibri" w:eastAsia="仿宋" w:hAnsi="Calibri" w:cs="宋体"/>
                <w:color w:val="3E3E3E"/>
                <w:kern w:val="0"/>
                <w:sz w:val="24"/>
                <w:szCs w:val="24"/>
              </w:rPr>
              <w:t>低液位</w:t>
            </w:r>
            <w:proofErr w:type="gramEnd"/>
            <w:r w:rsidRPr="00B70CC6">
              <w:rPr>
                <w:rFonts w:ascii="Calibri" w:eastAsia="仿宋" w:hAnsi="Calibri" w:cs="宋体"/>
                <w:color w:val="3E3E3E"/>
                <w:kern w:val="0"/>
                <w:sz w:val="24"/>
                <w:szCs w:val="24"/>
              </w:rPr>
              <w:t>报警器，以及高液位报警和高高液位自动</w:t>
            </w:r>
            <w:proofErr w:type="gramStart"/>
            <w:r w:rsidRPr="00B70CC6">
              <w:rPr>
                <w:rFonts w:ascii="Calibri" w:eastAsia="仿宋" w:hAnsi="Calibri" w:cs="宋体"/>
                <w:color w:val="3E3E3E"/>
                <w:kern w:val="0"/>
                <w:sz w:val="24"/>
                <w:szCs w:val="24"/>
              </w:rPr>
              <w:t>联锁</w:t>
            </w:r>
            <w:proofErr w:type="gramEnd"/>
            <w:r w:rsidRPr="00B70CC6">
              <w:rPr>
                <w:rFonts w:ascii="Calibri" w:eastAsia="仿宋" w:hAnsi="Calibri" w:cs="宋体"/>
                <w:color w:val="3E3E3E"/>
                <w:kern w:val="0"/>
                <w:sz w:val="24"/>
                <w:szCs w:val="24"/>
              </w:rPr>
              <w:t>切断进料措施。全冷冻式液化</w:t>
            </w:r>
            <w:proofErr w:type="gramStart"/>
            <w:r w:rsidRPr="00B70CC6">
              <w:rPr>
                <w:rFonts w:ascii="Calibri" w:eastAsia="仿宋" w:hAnsi="Calibri" w:cs="宋体"/>
                <w:color w:val="3E3E3E"/>
                <w:kern w:val="0"/>
                <w:sz w:val="24"/>
                <w:szCs w:val="24"/>
              </w:rPr>
              <w:t>烃</w:t>
            </w:r>
            <w:proofErr w:type="gramEnd"/>
            <w:r w:rsidRPr="00B70CC6">
              <w:rPr>
                <w:rFonts w:ascii="Calibri" w:eastAsia="仿宋" w:hAnsi="Calibri" w:cs="宋体"/>
                <w:color w:val="3E3E3E"/>
                <w:kern w:val="0"/>
                <w:sz w:val="24"/>
                <w:szCs w:val="24"/>
              </w:rPr>
              <w:t>储罐还应设真空泄放设施和高、低温度检测，并应与自动控制系统相联；</w:t>
            </w:r>
          </w:p>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w:t>
            </w:r>
            <w:r w:rsidRPr="00B70CC6">
              <w:rPr>
                <w:rFonts w:ascii="Calibri" w:eastAsia="仿宋" w:hAnsi="Calibri" w:cs="宋体"/>
                <w:color w:val="3E3E3E"/>
                <w:kern w:val="0"/>
                <w:sz w:val="24"/>
                <w:szCs w:val="24"/>
              </w:rPr>
              <w:t>6</w:t>
            </w:r>
            <w:r w:rsidRPr="00B70CC6">
              <w:rPr>
                <w:rFonts w:ascii="Calibri" w:eastAsia="仿宋" w:hAnsi="Calibri" w:cs="宋体"/>
                <w:color w:val="3E3E3E"/>
                <w:kern w:val="0"/>
                <w:sz w:val="24"/>
                <w:szCs w:val="24"/>
              </w:rPr>
              <w:t>）容量大于</w:t>
            </w:r>
            <w:r w:rsidRPr="00B70CC6">
              <w:rPr>
                <w:rFonts w:ascii="Calibri" w:eastAsia="仿宋" w:hAnsi="Calibri" w:cs="宋体"/>
                <w:color w:val="3E3E3E"/>
                <w:kern w:val="0"/>
                <w:sz w:val="24"/>
                <w:szCs w:val="24"/>
              </w:rPr>
              <w:t>100m</w:t>
            </w:r>
            <w:r w:rsidRPr="00B70CC6">
              <w:rPr>
                <w:rFonts w:ascii="Calibri" w:eastAsia="仿宋" w:hAnsi="Calibri" w:cs="宋体"/>
                <w:color w:val="3E3E3E"/>
                <w:kern w:val="0"/>
                <w:sz w:val="24"/>
                <w:szCs w:val="24"/>
                <w:vertAlign w:val="superscript"/>
              </w:rPr>
              <w:t>3</w:t>
            </w:r>
            <w:r w:rsidRPr="00B70CC6">
              <w:rPr>
                <w:rFonts w:ascii="Calibri" w:eastAsia="仿宋" w:hAnsi="Calibri" w:cs="宋体"/>
                <w:color w:val="3E3E3E"/>
                <w:kern w:val="0"/>
                <w:sz w:val="24"/>
                <w:szCs w:val="24"/>
              </w:rPr>
              <w:t>的储罐</w:t>
            </w:r>
            <w:proofErr w:type="gramStart"/>
            <w:r w:rsidRPr="00B70CC6">
              <w:rPr>
                <w:rFonts w:ascii="Calibri" w:eastAsia="仿宋" w:hAnsi="Calibri" w:cs="宋体"/>
                <w:color w:val="3E3E3E"/>
                <w:kern w:val="0"/>
                <w:sz w:val="24"/>
                <w:szCs w:val="24"/>
              </w:rPr>
              <w:t>应设液位</w:t>
            </w:r>
            <w:proofErr w:type="gramEnd"/>
            <w:r w:rsidRPr="00B70CC6">
              <w:rPr>
                <w:rFonts w:ascii="Calibri" w:eastAsia="仿宋" w:hAnsi="Calibri" w:cs="宋体"/>
                <w:color w:val="3E3E3E"/>
                <w:kern w:val="0"/>
                <w:sz w:val="24"/>
                <w:szCs w:val="24"/>
              </w:rPr>
              <w:t>测量远传仪表，应在自动控制系统中设高、</w:t>
            </w:r>
            <w:proofErr w:type="gramStart"/>
            <w:r w:rsidRPr="00B70CC6">
              <w:rPr>
                <w:rFonts w:ascii="Calibri" w:eastAsia="仿宋" w:hAnsi="Calibri" w:cs="宋体"/>
                <w:color w:val="3E3E3E"/>
                <w:kern w:val="0"/>
                <w:sz w:val="24"/>
                <w:szCs w:val="24"/>
              </w:rPr>
              <w:t>低液位</w:t>
            </w:r>
            <w:proofErr w:type="gramEnd"/>
            <w:r w:rsidRPr="00B70CC6">
              <w:rPr>
                <w:rFonts w:ascii="Calibri" w:eastAsia="仿宋" w:hAnsi="Calibri" w:cs="宋体"/>
                <w:color w:val="3E3E3E"/>
                <w:kern w:val="0"/>
                <w:sz w:val="24"/>
                <w:szCs w:val="24"/>
              </w:rPr>
              <w:t>报警。</w:t>
            </w:r>
          </w:p>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w:t>
            </w:r>
            <w:r w:rsidRPr="00B70CC6">
              <w:rPr>
                <w:rFonts w:ascii="Calibri" w:eastAsia="仿宋" w:hAnsi="Calibri" w:cs="宋体"/>
                <w:color w:val="3E3E3E"/>
                <w:kern w:val="0"/>
                <w:sz w:val="24"/>
                <w:szCs w:val="24"/>
              </w:rPr>
              <w:t>7</w:t>
            </w:r>
            <w:r w:rsidRPr="00B70CC6">
              <w:rPr>
                <w:rFonts w:ascii="Calibri" w:eastAsia="仿宋" w:hAnsi="Calibri" w:cs="宋体"/>
                <w:color w:val="3E3E3E"/>
                <w:kern w:val="0"/>
                <w:sz w:val="24"/>
                <w:szCs w:val="24"/>
              </w:rPr>
              <w:t>）容量大于或等于</w:t>
            </w:r>
            <w:r w:rsidRPr="00B70CC6">
              <w:rPr>
                <w:rFonts w:ascii="Calibri" w:eastAsia="仿宋" w:hAnsi="Calibri" w:cs="宋体"/>
                <w:color w:val="3E3E3E"/>
                <w:kern w:val="0"/>
                <w:sz w:val="24"/>
                <w:szCs w:val="24"/>
              </w:rPr>
              <w:t>5</w:t>
            </w:r>
            <w:r w:rsidRPr="00B70CC6">
              <w:rPr>
                <w:rFonts w:ascii="Calibri" w:eastAsia="仿宋" w:hAnsi="Calibri" w:cs="宋体"/>
                <w:color w:val="3E3E3E"/>
                <w:kern w:val="0"/>
                <w:sz w:val="24"/>
                <w:szCs w:val="24"/>
              </w:rPr>
              <w:t>万</w:t>
            </w:r>
            <w:r w:rsidRPr="00B70CC6">
              <w:rPr>
                <w:rFonts w:ascii="Calibri" w:eastAsia="仿宋" w:hAnsi="Calibri" w:cs="宋体"/>
                <w:color w:val="3E3E3E"/>
                <w:kern w:val="0"/>
                <w:sz w:val="24"/>
                <w:szCs w:val="24"/>
              </w:rPr>
              <w:t>m</w:t>
            </w:r>
            <w:r w:rsidRPr="00B70CC6">
              <w:rPr>
                <w:rFonts w:ascii="Calibri" w:eastAsia="仿宋" w:hAnsi="Calibri" w:cs="宋体"/>
                <w:color w:val="3E3E3E"/>
                <w:kern w:val="0"/>
                <w:sz w:val="24"/>
                <w:szCs w:val="24"/>
                <w:vertAlign w:val="superscript"/>
              </w:rPr>
              <w:t>3</w:t>
            </w:r>
            <w:r w:rsidRPr="00B70CC6">
              <w:rPr>
                <w:rFonts w:ascii="Calibri" w:eastAsia="仿宋" w:hAnsi="Calibri" w:cs="宋体"/>
                <w:color w:val="3E3E3E"/>
                <w:kern w:val="0"/>
                <w:sz w:val="24"/>
                <w:szCs w:val="24"/>
              </w:rPr>
              <w:t>的外浮顶储罐和内浮顶储罐应设低低液位报警；</w:t>
            </w:r>
          </w:p>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w:t>
            </w:r>
            <w:r w:rsidRPr="00B70CC6">
              <w:rPr>
                <w:rFonts w:ascii="Calibri" w:eastAsia="仿宋" w:hAnsi="Calibri" w:cs="宋体"/>
                <w:color w:val="3E3E3E"/>
                <w:kern w:val="0"/>
                <w:sz w:val="24"/>
                <w:szCs w:val="24"/>
              </w:rPr>
              <w:t>8</w:t>
            </w:r>
            <w:r w:rsidRPr="00B70CC6">
              <w:rPr>
                <w:rFonts w:ascii="Calibri" w:eastAsia="仿宋" w:hAnsi="Calibri" w:cs="宋体"/>
                <w:color w:val="3E3E3E"/>
                <w:kern w:val="0"/>
                <w:sz w:val="24"/>
                <w:szCs w:val="24"/>
              </w:rPr>
              <w:t>）储存</w:t>
            </w:r>
            <w:r w:rsidRPr="00B70CC6">
              <w:rPr>
                <w:rFonts w:ascii="微软雅黑" w:eastAsia="微软雅黑" w:hAnsi="微软雅黑" w:cs="微软雅黑"/>
                <w:color w:val="3E3E3E"/>
                <w:kern w:val="0"/>
                <w:sz w:val="24"/>
                <w:szCs w:val="24"/>
              </w:rPr>
              <w:t>Ⅰ</w:t>
            </w:r>
            <w:r w:rsidRPr="00B70CC6">
              <w:rPr>
                <w:rFonts w:ascii="Calibri" w:eastAsia="仿宋" w:hAnsi="Calibri" w:cs="宋体"/>
                <w:color w:val="3E3E3E"/>
                <w:kern w:val="0"/>
                <w:sz w:val="24"/>
                <w:szCs w:val="24"/>
              </w:rPr>
              <w:t>、</w:t>
            </w:r>
            <w:r w:rsidRPr="00B70CC6">
              <w:rPr>
                <w:rFonts w:ascii="微软雅黑" w:eastAsia="微软雅黑" w:hAnsi="微软雅黑" w:cs="微软雅黑"/>
                <w:color w:val="3E3E3E"/>
                <w:kern w:val="0"/>
                <w:sz w:val="24"/>
                <w:szCs w:val="24"/>
              </w:rPr>
              <w:t>Ⅱ</w:t>
            </w:r>
            <w:r w:rsidRPr="00B70CC6">
              <w:rPr>
                <w:rFonts w:ascii="Calibri" w:eastAsia="仿宋" w:hAnsi="Calibri" w:cs="宋体"/>
                <w:color w:val="3E3E3E"/>
                <w:kern w:val="0"/>
                <w:sz w:val="24"/>
                <w:szCs w:val="24"/>
              </w:rPr>
              <w:t>级毒性液体的储罐应设高高液位报警及连锁，高高液位报警应能同时连锁关闭储罐进口管道控制阀。</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lastRenderedPageBreak/>
              <w:t>16</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有毒有害、可燃气体泄漏检测报警系统未按照标准设置或未定期检测校验。</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17</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液化气体球罐进出物料管道未设置自动和手动遥控的紧急切断设施，不能保证在现场和控制室都可实现紧急切断。</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18</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安全阀、仪表等未按规定检测检验。</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19</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涉及放热反应的生产装置未按规定实现双回路供电。</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20</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控制系统未设置不间断电源（</w:t>
            </w:r>
            <w:r w:rsidRPr="00B70CC6">
              <w:rPr>
                <w:rFonts w:ascii="Calibri" w:eastAsia="仿宋" w:hAnsi="Calibri" w:cs="宋体"/>
                <w:color w:val="3E3E3E"/>
                <w:kern w:val="0"/>
                <w:sz w:val="24"/>
                <w:szCs w:val="24"/>
              </w:rPr>
              <w:t>UPS</w:t>
            </w:r>
            <w:r w:rsidRPr="00B70CC6">
              <w:rPr>
                <w:rFonts w:ascii="Calibri" w:eastAsia="仿宋" w:hAnsi="Calibri" w:cs="宋体"/>
                <w:color w:val="3E3E3E"/>
                <w:kern w:val="0"/>
                <w:sz w:val="24"/>
                <w:szCs w:val="24"/>
              </w:rPr>
              <w:t>）。</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21</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未将企业涉及的危险化学品信息收集整理齐全，并根据其危险特性制定安全操作规定。</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22</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企业操作人员不掌握所在岗位涉及危险化学品及其危险特性。</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shd w:val="clear" w:color="auto" w:fill="FFFFFF"/>
              <w:wordWrap w:val="0"/>
              <w:spacing w:line="360" w:lineRule="atLeast"/>
              <w:jc w:val="center"/>
              <w:rPr>
                <w:rFonts w:ascii="微软雅黑" w:eastAsia="微软雅黑" w:hAnsi="微软雅黑" w:cs="宋体" w:hint="eastAsia"/>
                <w:color w:val="3E3E3E"/>
                <w:kern w:val="0"/>
                <w:sz w:val="24"/>
                <w:szCs w:val="24"/>
              </w:rPr>
            </w:pPr>
            <w:r w:rsidRPr="00B70CC6">
              <w:rPr>
                <w:rFonts w:ascii="宋体" w:eastAsia="宋体" w:hAnsi="宋体" w:cs="宋体" w:hint="eastAsia"/>
                <w:color w:val="3E3E3E"/>
                <w:kern w:val="0"/>
                <w:sz w:val="24"/>
                <w:szCs w:val="24"/>
              </w:rPr>
              <w:t>23</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企业管理层缺乏熟悉危险化学品安全的人员，不熟悉危险化学品安全管理业务。</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shd w:val="clear" w:color="auto" w:fill="FFFFFF"/>
              <w:wordWrap w:val="0"/>
              <w:spacing w:line="360" w:lineRule="atLeast"/>
              <w:jc w:val="center"/>
              <w:rPr>
                <w:rFonts w:ascii="微软雅黑" w:eastAsia="微软雅黑" w:hAnsi="微软雅黑" w:cs="宋体" w:hint="eastAsia"/>
                <w:color w:val="3E3E3E"/>
                <w:kern w:val="0"/>
                <w:sz w:val="24"/>
                <w:szCs w:val="24"/>
              </w:rPr>
            </w:pPr>
            <w:r w:rsidRPr="00B70CC6">
              <w:rPr>
                <w:rFonts w:ascii="宋体" w:eastAsia="宋体" w:hAnsi="宋体" w:cs="宋体" w:hint="eastAsia"/>
                <w:color w:val="3E3E3E"/>
                <w:kern w:val="0"/>
                <w:sz w:val="24"/>
                <w:szCs w:val="24"/>
              </w:rPr>
              <w:t>24</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企业各类安全许可手续不齐全，或未在有效期内。</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25</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企业与周边的安全距离不满足要求。</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26</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shd w:val="clear" w:color="auto" w:fill="FFFFFF"/>
              <w:wordWrap w:val="0"/>
              <w:spacing w:line="360" w:lineRule="atLeast"/>
              <w:jc w:val="left"/>
              <w:rPr>
                <w:rFonts w:ascii="微软雅黑" w:eastAsia="微软雅黑" w:hAnsi="微软雅黑" w:cs="宋体" w:hint="eastAsia"/>
                <w:color w:val="3E3E3E"/>
                <w:kern w:val="0"/>
                <w:sz w:val="24"/>
                <w:szCs w:val="24"/>
              </w:rPr>
            </w:pPr>
            <w:r w:rsidRPr="00B70CC6">
              <w:rPr>
                <w:rFonts w:ascii="宋体" w:eastAsia="宋体" w:hAnsi="宋体" w:cs="宋体" w:hint="eastAsia"/>
                <w:color w:val="3E3E3E"/>
                <w:kern w:val="0"/>
                <w:sz w:val="24"/>
                <w:szCs w:val="24"/>
              </w:rPr>
              <w:t>危险化学品厂际输送管道被占压或间距不足。</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27</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shd w:val="clear" w:color="auto" w:fill="FFFFFF"/>
              <w:wordWrap w:val="0"/>
              <w:spacing w:line="360" w:lineRule="atLeast"/>
              <w:jc w:val="left"/>
              <w:rPr>
                <w:rFonts w:ascii="微软雅黑" w:eastAsia="微软雅黑" w:hAnsi="微软雅黑" w:cs="宋体" w:hint="eastAsia"/>
                <w:color w:val="3E3E3E"/>
                <w:kern w:val="0"/>
                <w:sz w:val="24"/>
                <w:szCs w:val="24"/>
              </w:rPr>
            </w:pPr>
            <w:r w:rsidRPr="00B70CC6">
              <w:rPr>
                <w:rFonts w:ascii="宋体" w:eastAsia="宋体" w:hAnsi="宋体" w:cs="宋体" w:hint="eastAsia"/>
                <w:color w:val="3E3E3E"/>
                <w:kern w:val="0"/>
                <w:sz w:val="24"/>
                <w:szCs w:val="24"/>
              </w:rPr>
              <w:t>在工厂内设置职工宿舍或施工人员住在厂区内部，控制室面向装置一侧有玻璃窗。</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28</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shd w:val="clear" w:color="auto" w:fill="FFFFFF"/>
              <w:wordWrap w:val="0"/>
              <w:spacing w:line="360" w:lineRule="atLeast"/>
              <w:jc w:val="left"/>
              <w:rPr>
                <w:rFonts w:ascii="微软雅黑" w:eastAsia="微软雅黑" w:hAnsi="微软雅黑" w:cs="宋体" w:hint="eastAsia"/>
                <w:color w:val="3E3E3E"/>
                <w:kern w:val="0"/>
                <w:sz w:val="24"/>
                <w:szCs w:val="24"/>
              </w:rPr>
            </w:pPr>
            <w:r w:rsidRPr="00B70CC6">
              <w:rPr>
                <w:rFonts w:ascii="宋体" w:eastAsia="宋体" w:hAnsi="宋体" w:cs="宋体" w:hint="eastAsia"/>
                <w:color w:val="3E3E3E"/>
                <w:kern w:val="0"/>
                <w:sz w:val="24"/>
                <w:szCs w:val="24"/>
              </w:rPr>
              <w:t>特殊作业未办理作业许可证。</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29</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shd w:val="clear" w:color="auto" w:fill="FFFFFF"/>
              <w:wordWrap w:val="0"/>
              <w:spacing w:line="360" w:lineRule="atLeast"/>
              <w:jc w:val="left"/>
              <w:rPr>
                <w:rFonts w:ascii="微软雅黑" w:eastAsia="微软雅黑" w:hAnsi="微软雅黑" w:cs="宋体" w:hint="eastAsia"/>
                <w:color w:val="3E3E3E"/>
                <w:kern w:val="0"/>
                <w:sz w:val="24"/>
                <w:szCs w:val="24"/>
              </w:rPr>
            </w:pPr>
            <w:r w:rsidRPr="00B70CC6">
              <w:rPr>
                <w:rFonts w:ascii="宋体" w:eastAsia="宋体" w:hAnsi="宋体" w:cs="宋体" w:hint="eastAsia"/>
                <w:color w:val="3E3E3E"/>
                <w:kern w:val="0"/>
                <w:sz w:val="24"/>
                <w:szCs w:val="24"/>
              </w:rPr>
              <w:t>未倒空置换、加盲板隔离或断电进行检维修作业。</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30</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动火作业前未进行可燃气体分析。</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31</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进入受限空间未进行氧含量、有毒气体和可燃气体分析。</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lastRenderedPageBreak/>
              <w:t>32</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shd w:val="clear" w:color="auto" w:fill="FFFFFF"/>
              <w:wordWrap w:val="0"/>
              <w:spacing w:line="360" w:lineRule="atLeast"/>
              <w:jc w:val="left"/>
              <w:rPr>
                <w:rFonts w:ascii="微软雅黑" w:eastAsia="微软雅黑" w:hAnsi="微软雅黑" w:cs="宋体" w:hint="eastAsia"/>
                <w:color w:val="3E3E3E"/>
                <w:kern w:val="0"/>
                <w:sz w:val="24"/>
                <w:szCs w:val="24"/>
              </w:rPr>
            </w:pPr>
            <w:r w:rsidRPr="00B70CC6">
              <w:rPr>
                <w:rFonts w:ascii="宋体" w:eastAsia="宋体" w:hAnsi="宋体" w:cs="宋体" w:hint="eastAsia"/>
                <w:color w:val="3E3E3E"/>
                <w:kern w:val="0"/>
                <w:sz w:val="24"/>
                <w:szCs w:val="24"/>
              </w:rPr>
              <w:t>油气</w:t>
            </w:r>
            <w:proofErr w:type="gramStart"/>
            <w:r w:rsidRPr="00B70CC6">
              <w:rPr>
                <w:rFonts w:ascii="宋体" w:eastAsia="宋体" w:hAnsi="宋体" w:cs="宋体" w:hint="eastAsia"/>
                <w:color w:val="3E3E3E"/>
                <w:kern w:val="0"/>
                <w:sz w:val="24"/>
                <w:szCs w:val="24"/>
              </w:rPr>
              <w:t>罐区切水和</w:t>
            </w:r>
            <w:proofErr w:type="gramEnd"/>
            <w:r w:rsidRPr="00B70CC6">
              <w:rPr>
                <w:rFonts w:ascii="宋体" w:eastAsia="宋体" w:hAnsi="宋体" w:cs="宋体" w:hint="eastAsia"/>
                <w:color w:val="3E3E3E"/>
                <w:kern w:val="0"/>
                <w:sz w:val="24"/>
                <w:szCs w:val="24"/>
              </w:rPr>
              <w:t>动火作业交叉进行。</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33</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脱水、装卸、倒罐作业时，作业人员离开现场。</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34</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工艺或安全仪表报警时未及时采取有效措施。</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35</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易燃易爆区域使用非防爆工具和电器。</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36</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可燃、有毒气体、火灾报警监控仪表无人连续值守。</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37</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消防水泵未设置双动力电源。</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38</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存在硫化氢和一氧化碳的区域，未配备便携式浓度检测设备、空气呼吸器、化学防护服、堵漏器材等器材和设备。</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39</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涉及</w:t>
            </w:r>
            <w:r w:rsidRPr="00B70CC6">
              <w:rPr>
                <w:rFonts w:ascii="Calibri" w:eastAsia="仿宋" w:hAnsi="Calibri" w:cs="宋体"/>
                <w:color w:val="3E3E3E"/>
                <w:kern w:val="0"/>
                <w:sz w:val="24"/>
                <w:szCs w:val="24"/>
              </w:rPr>
              <w:t>“</w:t>
            </w:r>
            <w:r w:rsidRPr="00B70CC6">
              <w:rPr>
                <w:rFonts w:ascii="Calibri" w:eastAsia="仿宋" w:hAnsi="Calibri" w:cs="宋体"/>
                <w:color w:val="3E3E3E"/>
                <w:kern w:val="0"/>
                <w:sz w:val="24"/>
                <w:szCs w:val="24"/>
              </w:rPr>
              <w:t>两重点</w:t>
            </w:r>
            <w:proofErr w:type="gramStart"/>
            <w:r w:rsidRPr="00B70CC6">
              <w:rPr>
                <w:rFonts w:ascii="Calibri" w:eastAsia="仿宋" w:hAnsi="Calibri" w:cs="宋体"/>
                <w:color w:val="3E3E3E"/>
                <w:kern w:val="0"/>
                <w:sz w:val="24"/>
                <w:szCs w:val="24"/>
              </w:rPr>
              <w:t>一</w:t>
            </w:r>
            <w:proofErr w:type="gramEnd"/>
            <w:r w:rsidRPr="00B70CC6">
              <w:rPr>
                <w:rFonts w:ascii="Calibri" w:eastAsia="仿宋" w:hAnsi="Calibri" w:cs="宋体"/>
                <w:color w:val="3E3E3E"/>
                <w:kern w:val="0"/>
                <w:sz w:val="24"/>
                <w:szCs w:val="24"/>
              </w:rPr>
              <w:t>重大</w:t>
            </w:r>
            <w:r w:rsidRPr="00B70CC6">
              <w:rPr>
                <w:rFonts w:ascii="Calibri" w:eastAsia="仿宋" w:hAnsi="Calibri" w:cs="宋体"/>
                <w:color w:val="3E3E3E"/>
                <w:kern w:val="0"/>
                <w:sz w:val="24"/>
                <w:szCs w:val="24"/>
              </w:rPr>
              <w:t>”</w:t>
            </w:r>
            <w:r w:rsidRPr="00B70CC6">
              <w:rPr>
                <w:rFonts w:ascii="Calibri" w:eastAsia="仿宋" w:hAnsi="Calibri" w:cs="宋体"/>
                <w:color w:val="3E3E3E"/>
                <w:kern w:val="0"/>
                <w:sz w:val="24"/>
                <w:szCs w:val="24"/>
              </w:rPr>
              <w:t>的化工生产装置未设置紧急停车系统。</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40</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危险化学品未按照分区分类存放标准储存，或超量、</w:t>
            </w:r>
            <w:proofErr w:type="gramStart"/>
            <w:r w:rsidRPr="00B70CC6">
              <w:rPr>
                <w:rFonts w:ascii="Calibri" w:eastAsia="仿宋" w:hAnsi="Calibri" w:cs="宋体"/>
                <w:color w:val="3E3E3E"/>
                <w:kern w:val="0"/>
                <w:sz w:val="24"/>
                <w:szCs w:val="24"/>
              </w:rPr>
              <w:t>超品种</w:t>
            </w:r>
            <w:proofErr w:type="gramEnd"/>
            <w:r w:rsidRPr="00B70CC6">
              <w:rPr>
                <w:rFonts w:ascii="Calibri" w:eastAsia="仿宋" w:hAnsi="Calibri" w:cs="宋体"/>
                <w:color w:val="3E3E3E"/>
                <w:kern w:val="0"/>
                <w:sz w:val="24"/>
                <w:szCs w:val="24"/>
              </w:rPr>
              <w:t>储存危险化学品，或相互</w:t>
            </w:r>
            <w:proofErr w:type="gramStart"/>
            <w:r w:rsidRPr="00B70CC6">
              <w:rPr>
                <w:rFonts w:ascii="Calibri" w:eastAsia="仿宋" w:hAnsi="Calibri" w:cs="宋体"/>
                <w:color w:val="3E3E3E"/>
                <w:kern w:val="0"/>
                <w:sz w:val="24"/>
                <w:szCs w:val="24"/>
              </w:rPr>
              <w:t>禁配物质混</w:t>
            </w:r>
            <w:proofErr w:type="gramEnd"/>
            <w:r w:rsidRPr="00B70CC6">
              <w:rPr>
                <w:rFonts w:ascii="Calibri" w:eastAsia="仿宋" w:hAnsi="Calibri" w:cs="宋体"/>
                <w:color w:val="3E3E3E"/>
                <w:kern w:val="0"/>
                <w:sz w:val="24"/>
                <w:szCs w:val="24"/>
              </w:rPr>
              <w:t>放混存。</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41</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shd w:val="clear" w:color="auto" w:fill="FFFFFF"/>
              <w:wordWrap w:val="0"/>
              <w:spacing w:line="360" w:lineRule="atLeast"/>
              <w:jc w:val="left"/>
              <w:rPr>
                <w:rFonts w:ascii="微软雅黑" w:eastAsia="微软雅黑" w:hAnsi="微软雅黑" w:cs="宋体" w:hint="eastAsia"/>
                <w:color w:val="3E3E3E"/>
                <w:kern w:val="0"/>
                <w:sz w:val="24"/>
                <w:szCs w:val="24"/>
              </w:rPr>
            </w:pPr>
            <w:r w:rsidRPr="00B70CC6">
              <w:rPr>
                <w:rFonts w:ascii="宋体" w:eastAsia="宋体" w:hAnsi="宋体" w:cs="宋体" w:hint="eastAsia"/>
                <w:color w:val="3E3E3E"/>
                <w:kern w:val="0"/>
                <w:sz w:val="24"/>
                <w:szCs w:val="24"/>
              </w:rPr>
              <w:t>硝酸铵储存库房不满足外部安全距离的。</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42</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shd w:val="clear" w:color="auto" w:fill="FFFFFF"/>
              <w:wordWrap w:val="0"/>
              <w:spacing w:line="360" w:lineRule="atLeast"/>
              <w:jc w:val="left"/>
              <w:rPr>
                <w:rFonts w:ascii="微软雅黑" w:eastAsia="微软雅黑" w:hAnsi="微软雅黑" w:cs="宋体" w:hint="eastAsia"/>
                <w:color w:val="3E3E3E"/>
                <w:kern w:val="0"/>
                <w:sz w:val="24"/>
                <w:szCs w:val="24"/>
              </w:rPr>
            </w:pPr>
            <w:r w:rsidRPr="00B70CC6">
              <w:rPr>
                <w:rFonts w:ascii="宋体" w:eastAsia="宋体" w:hAnsi="宋体" w:cs="宋体" w:hint="eastAsia"/>
                <w:color w:val="3E3E3E"/>
                <w:kern w:val="0"/>
                <w:sz w:val="24"/>
                <w:szCs w:val="24"/>
              </w:rPr>
              <w:t>危险化学品生产企业未能提供化学品安全技术说明书，或者未在包装（包括外包装件）上粘贴、拴挂化学品安全标签的。</w:t>
            </w:r>
          </w:p>
        </w:tc>
      </w:tr>
      <w:tr w:rsidR="00B70CC6" w:rsidRPr="00B70CC6" w:rsidTr="00B70CC6">
        <w:trPr>
          <w:trHeight w:val="510"/>
        </w:trPr>
        <w:tc>
          <w:tcPr>
            <w:tcW w:w="358"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wordWrap w:val="0"/>
              <w:spacing w:line="360" w:lineRule="atLeast"/>
              <w:jc w:val="center"/>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4"/>
                <w:szCs w:val="24"/>
              </w:rPr>
              <w:t>43</w:t>
            </w:r>
          </w:p>
        </w:tc>
        <w:tc>
          <w:tcPr>
            <w:tcW w:w="464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B70CC6" w:rsidRPr="00B70CC6" w:rsidRDefault="00B70CC6" w:rsidP="00B70CC6">
            <w:pPr>
              <w:widowControl/>
              <w:shd w:val="clear" w:color="auto" w:fill="FFFFFF"/>
              <w:wordWrap w:val="0"/>
              <w:spacing w:line="360" w:lineRule="atLeast"/>
              <w:jc w:val="left"/>
              <w:rPr>
                <w:rFonts w:ascii="微软雅黑" w:eastAsia="微软雅黑" w:hAnsi="微软雅黑" w:cs="宋体" w:hint="eastAsia"/>
                <w:color w:val="3E3E3E"/>
                <w:kern w:val="0"/>
                <w:sz w:val="24"/>
                <w:szCs w:val="24"/>
              </w:rPr>
            </w:pPr>
            <w:r w:rsidRPr="00B70CC6">
              <w:rPr>
                <w:rFonts w:ascii="宋体" w:eastAsia="宋体" w:hAnsi="宋体" w:cs="宋体" w:hint="eastAsia"/>
                <w:color w:val="3E3E3E"/>
                <w:kern w:val="0"/>
                <w:sz w:val="24"/>
                <w:szCs w:val="24"/>
              </w:rPr>
              <w:t>企业领导班子安全生产责任制不清晰的。</w:t>
            </w:r>
          </w:p>
        </w:tc>
      </w:tr>
    </w:tbl>
    <w:p w:rsidR="00B70CC6" w:rsidRPr="00B70CC6" w:rsidRDefault="00B70CC6" w:rsidP="00B70CC6">
      <w:pPr>
        <w:widowControl/>
        <w:shd w:val="clear" w:color="auto" w:fill="FFFFFF"/>
        <w:spacing w:line="585" w:lineRule="atLeast"/>
        <w:jc w:val="left"/>
        <w:rPr>
          <w:rFonts w:ascii="微软雅黑" w:eastAsia="微软雅黑" w:hAnsi="微软雅黑" w:cs="宋体" w:hint="eastAsia"/>
          <w:color w:val="3E3E3E"/>
          <w:kern w:val="0"/>
          <w:sz w:val="24"/>
          <w:szCs w:val="24"/>
        </w:rPr>
      </w:pPr>
      <w:r w:rsidRPr="00B70CC6">
        <w:rPr>
          <w:rFonts w:ascii="Calibri" w:eastAsia="仿宋" w:hAnsi="Calibri" w:cs="宋体"/>
          <w:color w:val="3E3E3E"/>
          <w:kern w:val="0"/>
          <w:sz w:val="29"/>
          <w:szCs w:val="29"/>
        </w:rPr>
        <w:t>注：</w:t>
      </w:r>
      <w:r w:rsidRPr="00B70CC6">
        <w:rPr>
          <w:rFonts w:ascii="Calibri" w:eastAsia="仿宋" w:hAnsi="Calibri" w:cs="宋体"/>
          <w:color w:val="3E3E3E"/>
          <w:kern w:val="0"/>
          <w:sz w:val="29"/>
          <w:szCs w:val="29"/>
        </w:rPr>
        <w:t>1.</w:t>
      </w:r>
      <w:r w:rsidRPr="00B70CC6">
        <w:rPr>
          <w:rFonts w:ascii="Calibri" w:eastAsia="仿宋" w:hAnsi="Calibri" w:cs="宋体"/>
          <w:color w:val="3E3E3E"/>
          <w:kern w:val="0"/>
          <w:sz w:val="29"/>
          <w:szCs w:val="29"/>
        </w:rPr>
        <w:t>本指导目录试行期为</w:t>
      </w:r>
      <w:r w:rsidRPr="00B70CC6">
        <w:rPr>
          <w:rFonts w:ascii="Calibri" w:eastAsia="仿宋" w:hAnsi="Calibri" w:cs="宋体"/>
          <w:color w:val="3E3E3E"/>
          <w:kern w:val="0"/>
          <w:sz w:val="29"/>
          <w:szCs w:val="29"/>
        </w:rPr>
        <w:t>2</w:t>
      </w:r>
      <w:r w:rsidRPr="00B70CC6">
        <w:rPr>
          <w:rFonts w:ascii="Calibri" w:eastAsia="仿宋" w:hAnsi="Calibri" w:cs="宋体"/>
          <w:color w:val="3E3E3E"/>
          <w:kern w:val="0"/>
          <w:sz w:val="29"/>
          <w:szCs w:val="29"/>
        </w:rPr>
        <w:t>年，第</w:t>
      </w:r>
      <w:r w:rsidRPr="00B70CC6">
        <w:rPr>
          <w:rFonts w:ascii="Calibri" w:eastAsia="仿宋" w:hAnsi="Calibri" w:cs="宋体"/>
          <w:color w:val="3E3E3E"/>
          <w:kern w:val="0"/>
          <w:sz w:val="29"/>
          <w:szCs w:val="29"/>
        </w:rPr>
        <w:t>1</w:t>
      </w:r>
      <w:r w:rsidRPr="00B70CC6">
        <w:rPr>
          <w:rFonts w:ascii="Calibri" w:eastAsia="仿宋" w:hAnsi="Calibri" w:cs="宋体"/>
          <w:color w:val="3E3E3E"/>
          <w:kern w:val="0"/>
          <w:sz w:val="29"/>
          <w:szCs w:val="29"/>
        </w:rPr>
        <w:t>条涉及的</w:t>
      </w:r>
      <w:r w:rsidRPr="00B70CC6">
        <w:rPr>
          <w:rFonts w:ascii="Calibri" w:eastAsia="仿宋" w:hAnsi="Calibri" w:cs="宋体"/>
          <w:color w:val="3E3E3E"/>
          <w:kern w:val="0"/>
          <w:sz w:val="29"/>
          <w:szCs w:val="29"/>
        </w:rPr>
        <w:t>“</w:t>
      </w:r>
      <w:r w:rsidRPr="00B70CC6">
        <w:rPr>
          <w:rFonts w:ascii="Calibri" w:eastAsia="仿宋" w:hAnsi="Calibri" w:cs="宋体"/>
          <w:color w:val="3E3E3E"/>
          <w:kern w:val="0"/>
          <w:sz w:val="29"/>
          <w:szCs w:val="29"/>
        </w:rPr>
        <w:t>仪表操作人员</w:t>
      </w:r>
      <w:r w:rsidRPr="00B70CC6">
        <w:rPr>
          <w:rFonts w:ascii="Calibri" w:eastAsia="仿宋" w:hAnsi="Calibri" w:cs="宋体"/>
          <w:color w:val="3E3E3E"/>
          <w:kern w:val="0"/>
          <w:sz w:val="29"/>
          <w:szCs w:val="29"/>
        </w:rPr>
        <w:t>”</w:t>
      </w:r>
      <w:r w:rsidRPr="00B70CC6">
        <w:rPr>
          <w:rFonts w:ascii="Calibri" w:eastAsia="仿宋" w:hAnsi="Calibri" w:cs="宋体"/>
          <w:color w:val="3E3E3E"/>
          <w:kern w:val="0"/>
          <w:sz w:val="29"/>
          <w:szCs w:val="29"/>
        </w:rPr>
        <w:t>的上岗要求自</w:t>
      </w:r>
      <w:r w:rsidRPr="00B70CC6">
        <w:rPr>
          <w:rFonts w:ascii="Calibri" w:eastAsia="仿宋" w:hAnsi="Calibri" w:cs="宋体"/>
          <w:color w:val="3E3E3E"/>
          <w:kern w:val="0"/>
          <w:sz w:val="29"/>
          <w:szCs w:val="29"/>
        </w:rPr>
        <w:t>2016</w:t>
      </w:r>
      <w:r w:rsidRPr="00B70CC6">
        <w:rPr>
          <w:rFonts w:ascii="Calibri" w:eastAsia="仿宋" w:hAnsi="Calibri" w:cs="宋体"/>
          <w:color w:val="3E3E3E"/>
          <w:kern w:val="0"/>
          <w:sz w:val="29"/>
          <w:szCs w:val="29"/>
        </w:rPr>
        <w:t>年</w:t>
      </w:r>
      <w:r w:rsidRPr="00B70CC6">
        <w:rPr>
          <w:rFonts w:ascii="Calibri" w:eastAsia="仿宋" w:hAnsi="Calibri" w:cs="宋体"/>
          <w:color w:val="3E3E3E"/>
          <w:kern w:val="0"/>
          <w:sz w:val="29"/>
          <w:szCs w:val="29"/>
        </w:rPr>
        <w:t>1</w:t>
      </w:r>
      <w:r w:rsidRPr="00B70CC6">
        <w:rPr>
          <w:rFonts w:ascii="Calibri" w:eastAsia="仿宋" w:hAnsi="Calibri" w:cs="宋体"/>
          <w:color w:val="3E3E3E"/>
          <w:kern w:val="0"/>
          <w:sz w:val="29"/>
          <w:szCs w:val="29"/>
        </w:rPr>
        <w:t>月</w:t>
      </w:r>
      <w:r w:rsidRPr="00B70CC6">
        <w:rPr>
          <w:rFonts w:ascii="Calibri" w:eastAsia="仿宋" w:hAnsi="Calibri" w:cs="宋体"/>
          <w:color w:val="3E3E3E"/>
          <w:kern w:val="0"/>
          <w:sz w:val="29"/>
          <w:szCs w:val="29"/>
        </w:rPr>
        <w:t>1</w:t>
      </w:r>
      <w:r w:rsidRPr="00B70CC6">
        <w:rPr>
          <w:rFonts w:ascii="Calibri" w:eastAsia="仿宋" w:hAnsi="Calibri" w:cs="宋体"/>
          <w:color w:val="3E3E3E"/>
          <w:kern w:val="0"/>
          <w:sz w:val="29"/>
          <w:szCs w:val="29"/>
        </w:rPr>
        <w:t>日起实行。</w:t>
      </w:r>
    </w:p>
    <w:p w:rsidR="00B70CC6" w:rsidRPr="00B70CC6" w:rsidRDefault="00B70CC6" w:rsidP="00B70CC6">
      <w:pPr>
        <w:widowControl/>
        <w:shd w:val="clear" w:color="auto" w:fill="FFFFFF"/>
        <w:spacing w:line="585" w:lineRule="atLeast"/>
        <w:ind w:firstLine="555"/>
        <w:jc w:val="left"/>
        <w:rPr>
          <w:rFonts w:ascii="微软雅黑" w:eastAsia="微软雅黑" w:hAnsi="微软雅黑" w:cs="宋体" w:hint="eastAsia"/>
          <w:color w:val="3E3E3E"/>
          <w:kern w:val="0"/>
          <w:sz w:val="24"/>
          <w:szCs w:val="24"/>
        </w:rPr>
      </w:pPr>
      <w:r w:rsidRPr="00B70CC6">
        <w:rPr>
          <w:rFonts w:ascii="仿宋" w:eastAsia="仿宋" w:hAnsi="仿宋" w:cs="宋体" w:hint="eastAsia"/>
          <w:color w:val="3E3E3E"/>
          <w:kern w:val="0"/>
          <w:sz w:val="29"/>
          <w:szCs w:val="29"/>
        </w:rPr>
        <w:t>2.各省（区、市）安全生产监督管理局要根据辖区内化工（危险化学品）产业特点，制定辖区内的危险化学品企业重大隐患认定指导目录和行政处罚标准。</w:t>
      </w:r>
    </w:p>
    <w:p w:rsidR="00B70CC6" w:rsidRPr="00B70CC6" w:rsidRDefault="00B70CC6" w:rsidP="00B70CC6">
      <w:pPr>
        <w:widowControl/>
        <w:shd w:val="clear" w:color="auto" w:fill="FFFFFF"/>
        <w:spacing w:line="585" w:lineRule="atLeast"/>
        <w:ind w:firstLine="555"/>
        <w:jc w:val="left"/>
        <w:rPr>
          <w:rFonts w:ascii="微软雅黑" w:eastAsia="微软雅黑" w:hAnsi="微软雅黑" w:cs="宋体" w:hint="eastAsia"/>
          <w:color w:val="3E3E3E"/>
          <w:kern w:val="0"/>
          <w:sz w:val="24"/>
          <w:szCs w:val="24"/>
        </w:rPr>
      </w:pPr>
      <w:r w:rsidRPr="00B70CC6">
        <w:rPr>
          <w:rFonts w:ascii="仿宋" w:eastAsia="仿宋" w:hAnsi="仿宋" w:cs="宋体" w:hint="eastAsia"/>
          <w:color w:val="3E3E3E"/>
          <w:kern w:val="0"/>
          <w:sz w:val="29"/>
          <w:szCs w:val="29"/>
        </w:rPr>
        <w:t>3.化工（危险化学品）企业要高度重视重大隐患排查治理工作，定期将本企业重大隐患排查治理情况报所在地县级安全生产监督管理部门。</w:t>
      </w:r>
    </w:p>
    <w:p w:rsidR="00B70CC6" w:rsidRPr="00B70CC6" w:rsidRDefault="00B70CC6" w:rsidP="00B70CC6">
      <w:pPr>
        <w:widowControl/>
        <w:shd w:val="clear" w:color="auto" w:fill="FFFFFF"/>
        <w:spacing w:line="585" w:lineRule="atLeast"/>
        <w:ind w:firstLine="555"/>
        <w:jc w:val="left"/>
        <w:rPr>
          <w:rFonts w:ascii="微软雅黑" w:eastAsia="微软雅黑" w:hAnsi="微软雅黑" w:cs="宋体" w:hint="eastAsia"/>
          <w:color w:val="3E3E3E"/>
          <w:kern w:val="0"/>
          <w:sz w:val="24"/>
          <w:szCs w:val="24"/>
        </w:rPr>
      </w:pPr>
      <w:r w:rsidRPr="00B70CC6">
        <w:rPr>
          <w:rFonts w:ascii="仿宋" w:eastAsia="仿宋" w:hAnsi="仿宋" w:cs="宋体" w:hint="eastAsia"/>
          <w:color w:val="3E3E3E"/>
          <w:kern w:val="0"/>
          <w:sz w:val="29"/>
          <w:szCs w:val="29"/>
        </w:rPr>
        <w:t>4.地方各级安全生产监督管理部门要认真开展危险化学品企业重大隐患排查治理的监督检查工作，对检查中发现的重大隐患，必须依法对相关企业予以行政处罚。</w:t>
      </w:r>
    </w:p>
    <w:p w:rsidR="0045416F" w:rsidRDefault="0045416F"/>
    <w:sectPr w:rsidR="004541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39"/>
    <w:rsid w:val="001B1C39"/>
    <w:rsid w:val="0045416F"/>
    <w:rsid w:val="00B70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FE6C2-E67C-40A2-9CD2-54F1B33B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0CC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70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3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1773</Characters>
  <Application>Microsoft Office Word</Application>
  <DocSecurity>0</DocSecurity>
  <Lines>14</Lines>
  <Paragraphs>4</Paragraphs>
  <ScaleCrop>false</ScaleCrop>
  <Company>rwt</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温涛</dc:creator>
  <cp:keywords/>
  <dc:description/>
  <cp:lastModifiedBy>温涛</cp:lastModifiedBy>
  <cp:revision>3</cp:revision>
  <dcterms:created xsi:type="dcterms:W3CDTF">2015-09-10T23:29:00Z</dcterms:created>
  <dcterms:modified xsi:type="dcterms:W3CDTF">2015-09-10T23:30:00Z</dcterms:modified>
</cp:coreProperties>
</file>